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bookmarkStart w:id="1" w:name="top"/>
      <w:r>
        <w:t>Диагностическая запись и решения о человеке</w:t>
      </w:r>
      <w:bookmarkEnd w:id="1"/>
    </w:p>
    <w:p>
      <w:pPr>
        <w:pStyle w:val="Subtitle"/>
      </w:pPr>
      <w:r>
        <w:t>Кирилл Шебетов · beforeword · 24 сентября 2026</w:t>
      </w:r>
    </w:p>
    <w:p>
      <w:pPr>
        <w:pStyle w:val="Subtitle"/>
      </w:pPr>
      <w:r>
        <w:t>Шесть опубликованных случаев и исследование дальнейшего использования медицинских записей</w:t>
      </w:r>
    </w:p>
    <w:p>
      <w:pPr/>
      <w:r>
        <w:t>«Рак» — написанное слово. Фраза «у этого человека рак» добавляет утверждение о конкретном человеке. Фраза «этому человеку показана операция» добавляет утверждение о показании к вмешательству. Эти записи содержат разные утверждения, даже когда относятся к одному диагнозу. Эти строки составлены для объяснения вопроса исследования.</w:t>
      </w:r>
    </w:p>
    <w:p>
      <w:pPr/>
      <w:r>
        <w:t>Работа прослеживает, как медицинскую запись относят к человеку и используют в следующих решениях. Где сохраняют её условия, где добавляют новые основания, а где незаметно расширяют сказанное: от образца до всего человека, от подозрения до установленного диагноза, от назначения до выполненного лечения.</w:t>
      </w:r>
    </w:p>
    <w:p>
      <w:pPr/>
      <w:r>
        <w:rPr>
          <w:b/>
        </w:rPr>
        <w:t>Описание не становится описанным.</w:t>
      </w:r>
      <w:r>
        <w:t xml:space="preserve"> Это относится к любому слову, числу, изображению и объяснению в работе, включая слова «различие», «граница», «линии», «описание», «человек», «тело» и «текст». Сама эта формулировка также остаётся записью и не становится тем, что в ней названо.</w:t>
      </w:r>
    </w:p>
    <w:p>
      <w:pPr/>
      <w:r>
        <w:t>Само написание не предъявляет того, что через него названо. Если описание объявлено относящимся к конкретному человеку, образцу или событию, добавлено отдельное утверждение о связи. Нужно показать, как эта связь введена и на каком основании используется дальше. Слово «относится» не устанавливает её своим появлением. Пояснение связи также остаётся записью и не становится тем, что описывает.</w:t>
      </w:r>
    </w:p>
    <w:p>
      <w:pPr/>
      <w:r>
        <w:t>Сначала рассмотрены шесть опубликованных случаев: рак, ВИЧ, SARS-CoV-2, аутизм, астма и СДВГ. Затем — диагностические названия, аппаратные данные, словесные заключения, назначения, записи исполнения и дальнейшие употребления диагноза. Материал связан с десятью исследованиями beforeword и отдельной работой о Horizon. Составленные примеры обозначены; описание случая не выдаётся за полную медицинскую карту.</w:t>
      </w:r>
    </w:p>
    <w:p>
      <w:pPr>
        <w:pStyle w:val="Heading1"/>
      </w:pPr>
      <w:bookmarkStart w:id="2" w:name="section_1"/>
      <w:r>
        <w:t>1 Рак: результат прочитан, но к кому он относится?</w:t>
      </w:r>
      <w:bookmarkEnd w:id="2"/>
    </w:p>
    <w:p>
      <w:pPr/>
      <w:r>
        <w:t xml:space="preserve">В отчёте новозеландского уполномоченного по правам потребителей медицинских услуг (HDC) от 11 марта 2015 года описана ошибка с двумя биопсиями. Пациентка обозначена как Patient Y. </w:t>
      </w:r>
      <w:r>
        <w:t>[</w:t>
      </w:r>
      <w:hyperlink w:anchor="source_29">
        <w:r>
          <w:rPr>
            <w:color w:val="000000"/>
          </w:rPr>
          <w:t xml:space="preserve">29</w:t>
        </w:r>
      </w:hyperlink>
      <w:r>
        <w: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4032"/>
        <w:gridCol w:w="5472"/>
      </w:tblGrid>
      <w:tr>
        <w:trPr>
          <w:cantSplit/>
          <w:tblHeader/>
        </w:trPr>
        <w:tc>
          <w:tcPr>
            <w:tcW w:type="dxa" w:w="4032"/>
            <w:vAlign w:val="center"/>
            <w:shd w:fill="EDEDED"/>
          </w:tcPr>
          <w:p>
            <w:pPr>
              <w:pStyle w:val="TableHeader"/>
              <w:keepNext/>
            </w:pPr>
            <w:r>
              <w:t>Участок отчёта</w:t>
            </w:r>
          </w:p>
        </w:tc>
        <w:tc>
          <w:tcPr>
            <w:tcW w:type="dxa" w:w="5472"/>
            <w:vAlign w:val="center"/>
            <w:shd w:fill="EDEDED"/>
          </w:tcPr>
          <w:p>
            <w:pPr>
              <w:pStyle w:val="TableHeader"/>
              <w:keepNext/>
            </w:pPr>
            <w:r>
              <w:t>Что сообщается</w:t>
            </w:r>
          </w:p>
        </w:tc>
      </w:tr>
      <w:tr>
        <w:trPr>
          <w:cantSplit/>
        </w:trPr>
        <w:tc>
          <w:tcPr>
            <w:tcW w:type="dxa" w:w="4032"/>
            <w:vAlign w:val="center"/>
          </w:tcPr>
          <w:p>
            <w:pPr>
              <w:pStyle w:val="TableBody"/>
              <w:keepNext w:val="0"/>
            </w:pPr>
            <w:r>
              <w:t>Пункт 19</w:t>
            </w:r>
          </w:p>
        </w:tc>
        <w:tc>
          <w:tcPr>
            <w:tcW w:type="dxa" w:w="5472"/>
            <w:vAlign w:val="center"/>
          </w:tcPr>
          <w:p>
            <w:pPr>
              <w:pStyle w:val="TableBody"/>
              <w:keepNext w:val="0"/>
            </w:pPr>
            <w:r>
              <w:t>Диагноз «pleomorphic invasive lobular carcinoma» — плеоморфная инвазивная дольковая карцинома</w:t>
            </w:r>
          </w:p>
        </w:tc>
      </w:tr>
      <w:tr>
        <w:trPr>
          <w:cantSplit/>
        </w:trPr>
        <w:tc>
          <w:tcPr>
            <w:tcW w:type="dxa" w:w="4032"/>
            <w:vAlign w:val="center"/>
          </w:tcPr>
          <w:p>
            <w:pPr>
              <w:pStyle w:val="TableBody"/>
              <w:keepNext w:val="0"/>
            </w:pPr>
            <w:r>
              <w:t>Пункт 23</w:t>
            </w:r>
          </w:p>
        </w:tc>
        <w:tc>
          <w:tcPr>
            <w:tcW w:type="dxa" w:w="5472"/>
            <w:vAlign w:val="center"/>
          </w:tcPr>
          <w:p>
            <w:pPr>
              <w:pStyle w:val="TableBody"/>
              <w:keepNext w:val="0"/>
            </w:pPr>
            <w:r>
              <w:t>После мастэктомии Patient Y — удаления молочной железы — в материале злокачественности не найдено; исходные препараты признаны «correctly read and reported» — правильно прочитанными и описанными</w:t>
            </w:r>
          </w:p>
        </w:tc>
      </w:tr>
      <w:tr>
        <w:trPr>
          <w:cantSplit/>
        </w:trPr>
        <w:tc>
          <w:tcPr>
            <w:tcW w:type="dxa" w:w="4032"/>
            <w:vAlign w:val="center"/>
          </w:tcPr>
          <w:p>
            <w:pPr>
              <w:pStyle w:val="TableBody"/>
              <w:keepNext w:val="0"/>
            </w:pPr>
            <w:r>
              <w:t>Пункт 28</w:t>
            </w:r>
          </w:p>
        </w:tc>
        <w:tc>
          <w:tcPr>
            <w:tcW w:type="dxa" w:w="5472"/>
            <w:vAlign w:val="center"/>
          </w:tcPr>
          <w:p>
            <w:pPr>
              <w:pStyle w:val="TableBody"/>
              <w:keepNext w:val="0"/>
            </w:pPr>
            <w:r>
              <w:t>ДНК-тестирование подтвердило ошибочное отнесение результатов биопсий к двум пациенткам</w:t>
            </w:r>
          </w:p>
        </w:tc>
      </w:tr>
    </w:tbl>
    <w:p>
      <w:pPr>
        <w:spacing w:after="40" w:before="0" w:line="240" w:lineRule="auto"/>
      </w:pPr>
      <w:r>
        <w:rPr>
          <w:sz w:val="4"/>
        </w:rPr>
      </w:r>
    </w:p>
    <w:p>
      <w:pPr/>
      <w:r>
        <w:t>В одной записи может быть описан исследованный материал; в другой — указано, кому этот материал отнесён. Повтор диагностического названия не добавляет имя человека, маркировку образца или запись о происхождении материала. Если заключение используют для конкретного человека, в следующей записи должна появиться связь между человеком, материалом и документом и основание, на котором её используют.</w:t>
      </w:r>
    </w:p>
    <w:p>
      <w:pPr/>
      <w:r>
        <w:t>Именно эта связь участвует в дальнейшем решении. Составленная для разбора фраза «результат прочитан правильно, значит, его можно использовать для этой пациентки» пропускает проверку принадлежности. Она не является цитатой из отчёта. В ней показано добавление: правильность чтения материала получила новый смысл — правильность его применения к конкретному человеку.</w:t>
      </w:r>
    </w:p>
    <w:p>
      <w:pPr/>
      <w:r>
        <w:t>Разбор опирается на опубликованный отчёт. Исходное назначение операции здесь не воспроизведено, поэтому его точные слова и все основания решения по таблице восстановить нельзя. В расследовании описано, как результат ошибочно отнесли к пациентке; полная цепочка медицинских документов не подменяется её пересказом.</w:t>
      </w:r>
    </w:p>
    <w:p>
      <w:pPr/>
      <w:r>
        <w:t>Значение записи для решения видно именно через такие связи. Свести историю к фразе «буквы выполнили операцию» означало бы убрать из неё тех, кто использовал результат, и то, как было принято решение. Задача исследования — сохранить эти звенья и показать место, где требуется отдельное основание.</w:t>
      </w:r>
    </w:p>
    <w:p>
      <w:pPr>
        <w:pStyle w:val="Heading1"/>
      </w:pPr>
      <w:bookmarkStart w:id="3" w:name="section_2"/>
      <w:r>
        <w:t>2 ВИЧ: положительный тест и диагностическое заключение</w:t>
      </w:r>
      <w:bookmarkEnd w:id="3"/>
    </w:p>
    <w:p>
      <w:pPr/>
      <w:r>
        <w:t xml:space="preserve">Kaewpoowat и соавторы (2025) описывают скрининг беременной пациентки как «was reactive», дополнительный тест на антитела — «was positive for HIV-1». РНК ВИЧ в исследовании не обнаруживалась. Авторы сообщают о диагнозе ВИЧ-1, рекомендации терапии на время уточнения и двух днях приёма препаратов. После других исследований и наблюдения исходные результаты признали ложноположительными. Здесь используется опубликованное описание, не полная карта. </w:t>
      </w:r>
      <w:r>
        <w:t>[</w:t>
      </w:r>
      <w:hyperlink w:anchor="source_30">
        <w:r>
          <w:rPr>
            <w:color w:val="000000"/>
          </w:rPr>
          <w:t xml:space="preserve">30</w:t>
        </w:r>
      </w:hyperlink>
      <w:r>
        <w:t>, Case Presentation]</w:t>
      </w:r>
    </w:p>
    <w:p>
      <w:pPr/>
      <w:r>
        <w:t>Русские пояснения цитат: «был реактивным» и «был положительным на ВИЧ-1». Обе относятся к результатам определённых тестов. Утверждение «диагноз установлен» уже связывает эти результаты с диагностическим выводом. Для этого нужны правила их сопоставления и сведения, доступные на момент решения. Слова «положительно» и «установлено» не выполняют эту работу сами.</w:t>
      </w:r>
    </w:p>
    <w:p>
      <w:pPr/>
      <w:r>
        <w:t>Следующее назначение добавляет ещё один вопрос: что делать, пока неопределённость сохраняется? Решение может учитывать и имеющиеся результаты, и риск ожидания. Позднейший пересмотр нельзя автоматически использовать как доказательство того, что прежнее назначение было необоснованным. Оценивать его нужно по основаниям, которые имелись тогда.</w:t>
      </w:r>
    </w:p>
    <w:p>
      <w:pPr/>
      <w:r>
        <w:t>Две составленные фразы показывают противоположные расширения. «Раз назначены препараты, диагноз окончателен» превращает решение о действии в гарантию диагноза. «Раз диагноз пересмотрен, любое лечение было ошибочным» оценивает прежнее решение только по позднему результату. Эти фразы не приписываются участникам случая. Каждая требует обоснования, которого сам порядок слов не предоставляет.</w:t>
      </w:r>
    </w:p>
    <w:p>
      <w:pPr/>
      <w:r>
        <w:t>Пересмотр может быть хорошо обоснованным. При этом в следующем документе важно различить прежнее заключение, новые результаты и изменённый вывод. Одно слово «исправлено» не показывает, что именно изменилось.</w:t>
      </w:r>
    </w:p>
    <w:p>
      <w:pPr/>
      <w:r>
        <w:t xml:space="preserve">ВИЧ и СПИД также не взаимозаменяемы: положительный тест на ВИЧ не означает установленного СПИДа. </w:t>
      </w:r>
      <w:r>
        <w:t>[</w:t>
      </w:r>
      <w:hyperlink w:anchor="source_36">
        <w:r>
          <w:rPr>
            <w:color w:val="000000"/>
          </w:rPr>
          <w:t xml:space="preserve">36</w:t>
        </w:r>
      </w:hyperlink>
      <w:r>
        <w:t>]</w:t>
      </w:r>
      <w:r>
        <w:t xml:space="preserve"> Разобранный случай не даёт основания объявить ошибочными все тесты или переносить его результат на другого человека.</w:t>
      </w:r>
    </w:p>
    <w:p>
      <w:pPr>
        <w:pStyle w:val="Heading1"/>
      </w:pPr>
      <w:bookmarkStart w:id="4" w:name="section_3"/>
      <w:r>
        <w:t>3 COVID-19: изоляция до результата и после него</w:t>
      </w:r>
      <w:bookmarkEnd w:id="4"/>
    </w:p>
    <w:p>
      <w:pPr/>
      <w:r>
        <w:t xml:space="preserve">COVID-19 — название заболевания, SARS-CoV-2 — название вызывающего его вируса. </w:t>
      </w:r>
      <w:r>
        <w:t>[</w:t>
      </w:r>
      <w:hyperlink w:anchor="source_35">
        <w:r>
          <w:rPr>
            <w:color w:val="000000"/>
          </w:rPr>
          <w:t xml:space="preserve">35</w:t>
        </w:r>
      </w:hyperlink>
      <w:r>
        <w:t>]</w:t>
      </w:r>
      <w:r>
        <w:t xml:space="preserve"> В следующем случае существенны время получения результата и основания каждого решения.</w:t>
      </w:r>
    </w:p>
    <w:p>
      <w:pPr/>
      <w:r>
        <w:t xml:space="preserve">В разборе PSNet (2021) во время планового кесарева сечения появились лихорадка и потребность в кислороде. Пациентку и ребёнка изолировали до результатов — «due to suspicion». После положительного теста пациентку считали инфицированной — «assumed to be positive»: рекомендовали домашнюю изоляцию на 14 дней и начали отслеживание контактов. Позднее другие результаты оказались отрицательными; расследование связало исходный результат с загрязнением от соседнего положительного образца. Повторное исследование остаточного материала также было отрицательным. </w:t>
      </w:r>
      <w:r>
        <w:t>[</w:t>
      </w:r>
      <w:hyperlink w:anchor="source_31">
        <w:r>
          <w:rPr>
            <w:color w:val="000000"/>
          </w:rPr>
          <w:t xml:space="preserve">31</w:t>
        </w:r>
      </w:hyperlink>
      <w:r>
        <w:t>, The Case]</w:t>
      </w:r>
    </w:p>
    <w:p>
      <w:pPr/>
      <w:r>
        <w:t>Пояснения цитат: «из-за подозрения» и «предполагалось, что она инфицирована». Они относятся к разным моментам. Если пересказать историю одной фразой «положительный результат вызвал всю изоляцию», из пересказа исчезнет решение, принятое до получения результата. Это составленный пример неточного пересказа, не цитата из случая.</w:t>
      </w:r>
    </w:p>
    <w:p>
      <w:pPr/>
      <w:r>
        <w:t>Порядок здесь меняет вывод о причинах. Сначала нужно установить, что было известно при каждом решении. Только после этого можно обсуждать, какую роль сыграл результат. Нельзя объяснить им предшествующее действие лишь потому, что оба упомянуты в одном рассказе.</w:t>
      </w:r>
    </w:p>
    <w:p>
      <w:pPr/>
      <w:r>
        <w:t>Результат теста, вывод об инфекции, оценка возможности передачи и рекомендация об изоляции также не являются четырьмя названиями одного утверждения. При переходе к рекомендации добавляются условия её применения. Положительная строка сама не содержит всех этих условий.</w:t>
      </w:r>
    </w:p>
    <w:p>
      <w:pPr/>
      <w:r>
        <w:t>После пересмотра возникает отдельная задача — проследить дальнейшее использование прежнего результата. Составленные фразы «результат исправлен в лаборатории» и «исправлены все документы, где его использовали» требуют разных подтверждений. Первая не гарантирует вторую. Это вопрос к истории исправления, а не сообщение о том, что именно произошло с каждой записью в данном случае.</w:t>
      </w:r>
    </w:p>
    <w:p>
      <w:pPr/>
      <w:r>
        <w:t>Доступен опубликованный разбор, не весь комплект первоначальных документов. Он позволяет рассмотреть последовательность решений, но не дописать любой предполагаемый вред или чужое переживание. Сообщение об изменении ухода, слова человека и объяснение исследователя нужно сохранять отдельно.</w:t>
      </w:r>
    </w:p>
    <w:p>
      <w:pPr>
        <w:pStyle w:val="Heading1"/>
      </w:pPr>
      <w:bookmarkStart w:id="5" w:name="section_4"/>
      <w:r>
        <w:t>4 Аутизм: ответ на жалобу заменён суждением о человеке</w:t>
      </w:r>
      <w:bookmarkEnd w:id="5"/>
    </w:p>
    <w:p>
      <w:pPr/>
      <w:r>
        <w:t xml:space="preserve">В решении HDC от 26 мая 2025 года рассмотрена жалоба Mr A. Ответ организации связывал аутизм с утверждением, что он никогда не сможет признать неправоту в большинстве вопросов: «will not ever be able to accept». Уполномоченный раскритиковал суждения о характере, использованные для уклонения от содержания жалобы, и установил нарушение права на уважение. Это разбор ответа на жалобу, не пересмотр диагноза. </w:t>
      </w:r>
      <w:r>
        <w:t>[</w:t>
      </w:r>
      <w:hyperlink w:anchor="source_32">
        <w:r>
          <w:rPr>
            <w:color w:val="000000"/>
          </w:rPr>
          <w:t xml:space="preserve">32</w:t>
        </w:r>
      </w:hyperlink>
      <w:r>
        <w:t>, пункты 20, 35, 74–77]</w:t>
      </w:r>
    </w:p>
    <w:p>
      <w:pPr/>
      <w:r>
        <w:t>Здесь можно указать конкретное добавление. К диагностическому обозначению присоединено утверждение о том, чего человек никогда не сможет сделать. Оно касается не только предъявленной жалобы: в нём задано неограниченное будущее, хотя область суждения обозначена словами «в большинстве вопросов».</w:t>
      </w:r>
    </w:p>
    <w:p>
      <w:pPr/>
      <w:r>
        <w:t>В ответе организации рядом с диагнозом записано суждение о способности человека признавать неправоту. Из наличия слова «аутизм» не появляется ответ на содержание жалобы: для него нужны обстоятельства, изложенные в жалобе, и относящиеся к ним материалы. Диагностическая информация может быть уместна при организации поддержки; здесь разбирается именно добавленное суждение.</w:t>
      </w:r>
    </w:p>
    <w:p>
      <w:pPr/>
      <w:r>
        <w:t>Переход, требующий разбора, возникает там, где характеристика человека занимает место такого рассмотрения. Из фразы о способности признать неправоту нельзя получить ответ на вопрос, что произошло в указанном взаимодействии. Даже обоснованный диагноз не делает любое последующее несогласие заранее объяснённым.</w:t>
      </w:r>
    </w:p>
    <w:p>
      <w:pPr/>
      <w:r>
        <w:t>Поэтому этот случай нужен рядом с ошибками анализов. Чтобы показать расширение утверждения, не требуется сначала опровергать диагноз. Предметом становится то, что добавлено к нему в следующем тексте и как это добавление используется в ответе человеку.</w:t>
      </w:r>
    </w:p>
    <w:p>
      <w:pPr/>
      <w:r>
        <w:t>Решение HDC относится к рассмотренной жалобе. В нём нет сообщения о том, как все организации обращаются со всеми людьми с аутизмом. Этот разбор сохраняет тот же охват и не расширяет один случай до общего суждения.</w:t>
      </w:r>
    </w:p>
    <w:p>
      <w:pPr>
        <w:pStyle w:val="Heading1"/>
      </w:pPr>
      <w:bookmarkStart w:id="6" w:name="section_5"/>
      <w:r>
        <w:t>5 Астма: прежнее объяснение и новые исследования</w:t>
      </w:r>
      <w:bookmarkEnd w:id="6"/>
    </w:p>
    <w:p>
      <w:pPr/>
      <w:r>
        <w:t xml:space="preserve">Huang и соавторы описывают шестнадцатилетнюю пациентку, получавшую будесонид и формотерол после диагноза астмы. За год кашель и свистящее дыхание усилились. При переводе сохранялась формулировка «with a diagnosis of severe asthma» — «с диагнозом тяжёлой астмы». КТ и бронхоскопия обнаружили образование, перекрывавшее около 90% просвета трахеи; патологическое исследование определило шванному. После эндоскопического удаления кашель и одышка исчезли. За восемнадцать месяцев рецидива опухоли не зарегистрировали. </w:t>
      </w:r>
      <w:r>
        <w:t>[</w:t>
      </w:r>
      <w:hyperlink w:anchor="source_33">
        <w:r>
          <w:rPr>
            <w:color w:val="000000"/>
          </w:rPr>
          <w:t xml:space="preserve">33</w:t>
        </w:r>
      </w:hyperlink>
      <w:r>
        <w:t>, Case Presentation; Outcome and Follow-up]</w:t>
      </w:r>
    </w:p>
    <w:p>
      <w:pPr/>
      <w:r>
        <w:t>В этом описании прежнее диагностическое название встречается с новыми результатами. Вопрос к его дальнейшему использованию — что позволяет сохранить объяснение, а что требует его пересмотреть? В повторе названия новых оснований не записано. Новое исследование может изменить вывод, если показано, как его результат относится к прежнему вопросу.</w:t>
      </w:r>
    </w:p>
    <w:p>
      <w:pPr/>
      <w:r>
        <w:t>Не следует заранее описывать каждое решение как следствие слепой веры в диагноз. В публикации не приведён материал, позволяющий отнести задержку только к прежнему диагнозу. Здесь проверяется более узкий переход: не заняло ли прежнее название место рассмотрения новых наблюдений. Для утверждения о конкретном решении нужны относящиеся к нему материалы.</w:t>
      </w:r>
    </w:p>
    <w:p>
      <w:pPr/>
      <w:r>
        <w:t>Смена названия также не завершает разбор. «Шваннома» не является удалённым образованием. Снимок, бронхоскопический кадр и заключение могут поддерживать новое объяснение, оставаясь разными материалами. Число «90%» сообщает оценку; оно не переносит участок трахеи в текст. Более обоснованное описание может направлять решение, не становясь тем, что описывает.</w:t>
      </w:r>
    </w:p>
    <w:p>
      <w:pPr/>
      <w:r>
        <w:t>Этот опубликованный случай описывает одну пациентку; материала о диагнозах других людей в нём нет. Здесь задаётся другой, ограниченный вопрос: как учитывать последующие исследования, не превращая первоначальное название в ответ на всё дальнейшее? Тот же вопрос остаётся уместным, если пересмотр поддерживает прежний диагноз.</w:t>
      </w:r>
    </w:p>
    <w:p>
      <w:pPr>
        <w:pStyle w:val="Heading1"/>
      </w:pPr>
      <w:bookmarkStart w:id="7" w:name="section_6"/>
      <w:r>
        <w:t>6 СДВГ: что позволяет утверждать последующее наблюдение</w:t>
      </w:r>
      <w:bookmarkEnd w:id="7"/>
    </w:p>
    <w:p>
      <w:pPr/>
      <w:r>
        <w:t xml:space="preserve">В сообщении 2024 года мужчине поставили диагноз «attention deficit disorder» и назначили стимулятор. Позднее исследование сна выявило обструктивное апноэ; началась CPAP-терапия — поддержание постоянного положительного давления в дыхательных путях. Затем врач рекомендовал отменить стимулятор из-за побочных эффектов. К последнему визиту авторы сообщали, что трудности с вниманием не возобновились при продолжающемся CPAP. Исходные нейропсихологические тесты были им недоступны; повторные не выполнялись. </w:t>
      </w:r>
      <w:r>
        <w:t>[</w:t>
      </w:r>
      <w:hyperlink w:anchor="source_34">
        <w:r>
          <w:rPr>
            <w:color w:val="000000"/>
          </w:rPr>
          <w:t xml:space="preserve">34</w:t>
        </w:r>
      </w:hyperlink>
      <w:r>
        <w:t>, Report of Case; Discussion]</w:t>
      </w:r>
    </w:p>
    <w:p>
      <w:pPr/>
      <w:r>
        <w:t>Диагностическое название здесь передано в формулировке публикации. Последующее сообщение о внимании не даёт полного доступа к первоначальному обследованию. Поэтому нельзя восстановить из него точные слова раннего заключения или автоматически признать исходный диагноз ошибочным.</w:t>
      </w:r>
    </w:p>
    <w:p>
      <w:pPr/>
      <w:r>
        <w:t>В позднем тексте могут появиться новые основания для дальнейшего использования диагноза. Прежняя запись при этом остаётся прежней записью. Если в позднем сообщении нет полного объяснения всех прежних трудностей, такое объяснение нельзя дописать за него. Следующее использование первоначального названия должно учитывать появившиеся позднее сведения.</w:t>
      </w:r>
    </w:p>
    <w:p>
      <w:pPr/>
      <w:r>
        <w:t>Для сравнения составлены два расширения: «СДВГ всегда означает нарушение сна» и «если диагноз однажды поставлен, им уже объяснено любое будущее поведение». Первое переносит отдельную историю на целую диагностическую категорию. Второе превращает запись, относящуюся к определённому обследованию, в безграничное объяснение человека. Ни одна фраза не принадлежит участникам случая; обе требуют больше оснований, чем здесь представлено.</w:t>
      </w:r>
    </w:p>
    <w:p>
      <w:pPr/>
      <w:r>
        <w:t>Важно и то, каким способом получен поздний вывод. В публикации записано, что прежние трудности не возобновились; повторного тестирования не проводилось. Фраза об отсутствии трудностей не становится результатом повторного теста. Если нужен вывод именно из повторного тестирования, такого результата в опубликованном случае нет.</w:t>
      </w:r>
    </w:p>
    <w:p>
      <w:pPr/>
      <w:r>
        <w:t>В этом разделе не предъявлена первоначальная карта и не утверждается ошибка в ней. Разбирается только то, что следующий текст добавляет к опубликованной истории. Фраз о «выдумке» заболевания и рекомендаций менять лечение другому человеку здесь нет.</w:t>
      </w:r>
    </w:p>
    <w:p>
      <w:pPr>
        <w:pStyle w:val="Heading1"/>
      </w:pPr>
      <w:bookmarkStart w:id="8" w:name="section_7"/>
      <w:r>
        <w:t>7 Шесть разных переходов</w:t>
      </w:r>
      <w:bookmarkEnd w:id="8"/>
    </w:p>
    <w:p>
      <w:pPr/>
      <w:r>
        <w:t>Эти случаи выбраны по тому, какие переходы в них можно рассмотреть. Они не составляют выборку для подсчёта частоты ошибок. Таблица связывает каждый случай с его отдельным вопросом.</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4032"/>
        <w:gridCol w:w="5472"/>
      </w:tblGrid>
      <w:tr>
        <w:trPr>
          <w:cantSplit/>
          <w:tblHeader/>
        </w:trPr>
        <w:tc>
          <w:tcPr>
            <w:tcW w:type="dxa" w:w="4032"/>
            <w:vAlign w:val="center"/>
            <w:shd w:fill="EDEDED"/>
          </w:tcPr>
          <w:p>
            <w:pPr>
              <w:pStyle w:val="TableHeader"/>
              <w:keepNext/>
            </w:pPr>
            <w:r>
              <w:t>Случай</w:t>
            </w:r>
          </w:p>
        </w:tc>
        <w:tc>
          <w:tcPr>
            <w:tcW w:type="dxa" w:w="5472"/>
            <w:vAlign w:val="center"/>
            <w:shd w:fill="EDEDED"/>
          </w:tcPr>
          <w:p>
            <w:pPr>
              <w:pStyle w:val="TableHeader"/>
              <w:keepNext/>
            </w:pPr>
            <w:r>
              <w:t>Вопрос к использованию записи</w:t>
            </w:r>
          </w:p>
        </w:tc>
      </w:tr>
      <w:tr>
        <w:trPr>
          <w:cantSplit/>
        </w:trPr>
        <w:tc>
          <w:tcPr>
            <w:tcW w:type="dxa" w:w="4032"/>
            <w:vAlign w:val="center"/>
          </w:tcPr>
          <w:p>
            <w:pPr>
              <w:pStyle w:val="TableBody"/>
              <w:keepNext w:val="0"/>
            </w:pPr>
            <w:r>
              <w:t>Рак</w:t>
            </w:r>
          </w:p>
        </w:tc>
        <w:tc>
          <w:tcPr>
            <w:tcW w:type="dxa" w:w="5472"/>
            <w:vAlign w:val="center"/>
          </w:tcPr>
          <w:p>
            <w:pPr>
              <w:pStyle w:val="TableBody"/>
              <w:keepNext w:val="0"/>
            </w:pPr>
            <w:r>
              <w:t>На каком основании результат отнесён именно к этому человеку?</w:t>
            </w:r>
          </w:p>
        </w:tc>
      </w:tr>
      <w:tr>
        <w:trPr>
          <w:cantSplit/>
        </w:trPr>
        <w:tc>
          <w:tcPr>
            <w:tcW w:type="dxa" w:w="4032"/>
            <w:vAlign w:val="center"/>
          </w:tcPr>
          <w:p>
            <w:pPr>
              <w:pStyle w:val="TableBody"/>
              <w:keepNext w:val="0"/>
            </w:pPr>
            <w:r>
              <w:t>ВИЧ</w:t>
            </w:r>
          </w:p>
        </w:tc>
        <w:tc>
          <w:tcPr>
            <w:tcW w:type="dxa" w:w="5472"/>
            <w:vAlign w:val="center"/>
          </w:tcPr>
          <w:p>
            <w:pPr>
              <w:pStyle w:val="TableBody"/>
              <w:keepNext w:val="0"/>
            </w:pPr>
            <w:r>
              <w:t>Как различить результат теста, диагноз и решение при неопределённости?</w:t>
            </w:r>
          </w:p>
        </w:tc>
      </w:tr>
      <w:tr>
        <w:trPr>
          <w:cantSplit/>
        </w:trPr>
        <w:tc>
          <w:tcPr>
            <w:tcW w:type="dxa" w:w="4032"/>
            <w:vAlign w:val="center"/>
          </w:tcPr>
          <w:p>
            <w:pPr>
              <w:pStyle w:val="TableBody"/>
              <w:keepNext w:val="0"/>
            </w:pPr>
            <w:r>
              <w:t>SARS-CoV-2</w:t>
            </w:r>
          </w:p>
        </w:tc>
        <w:tc>
          <w:tcPr>
            <w:tcW w:type="dxa" w:w="5472"/>
            <w:vAlign w:val="center"/>
          </w:tcPr>
          <w:p>
            <w:pPr>
              <w:pStyle w:val="TableBody"/>
              <w:keepNext w:val="0"/>
            </w:pPr>
            <w:r>
              <w:t>Какое решение принято до результата, какое — после, и почему?</w:t>
            </w:r>
          </w:p>
        </w:tc>
      </w:tr>
      <w:tr>
        <w:trPr>
          <w:cantSplit/>
        </w:trPr>
        <w:tc>
          <w:tcPr>
            <w:tcW w:type="dxa" w:w="4032"/>
            <w:vAlign w:val="center"/>
          </w:tcPr>
          <w:p>
            <w:pPr>
              <w:pStyle w:val="TableBody"/>
              <w:keepNext w:val="0"/>
            </w:pPr>
            <w:r>
              <w:t>Аутизм</w:t>
            </w:r>
          </w:p>
        </w:tc>
        <w:tc>
          <w:tcPr>
            <w:tcW w:type="dxa" w:w="5472"/>
            <w:vAlign w:val="center"/>
          </w:tcPr>
          <w:p>
            <w:pPr>
              <w:pStyle w:val="TableBody"/>
              <w:keepNext w:val="0"/>
            </w:pPr>
            <w:r>
              <w:t>Что добавляет утверждение о неспособности признать неправоту и как оно используется в ответе на жалобу?</w:t>
            </w:r>
          </w:p>
        </w:tc>
      </w:tr>
      <w:tr>
        <w:trPr>
          <w:cantSplit/>
        </w:trPr>
        <w:tc>
          <w:tcPr>
            <w:tcW w:type="dxa" w:w="4032"/>
            <w:vAlign w:val="center"/>
          </w:tcPr>
          <w:p>
            <w:pPr>
              <w:pStyle w:val="TableBody"/>
              <w:keepNext w:val="0"/>
            </w:pPr>
            <w:r>
              <w:t>Астма</w:t>
            </w:r>
          </w:p>
        </w:tc>
        <w:tc>
          <w:tcPr>
            <w:tcW w:type="dxa" w:w="5472"/>
            <w:vAlign w:val="center"/>
          </w:tcPr>
          <w:p>
            <w:pPr>
              <w:pStyle w:val="TableBody"/>
              <w:keepNext w:val="0"/>
            </w:pPr>
            <w:r>
              <w:t>Как новые исследования меняют основания прежнего объяснения?</w:t>
            </w:r>
          </w:p>
        </w:tc>
      </w:tr>
      <w:tr>
        <w:trPr>
          <w:cantSplit/>
        </w:trPr>
        <w:tc>
          <w:tcPr>
            <w:tcW w:type="dxa" w:w="4032"/>
            <w:vAlign w:val="center"/>
          </w:tcPr>
          <w:p>
            <w:pPr>
              <w:pStyle w:val="TableBody"/>
              <w:keepNext w:val="0"/>
            </w:pPr>
            <w:r>
              <w:t>СДВГ</w:t>
            </w:r>
          </w:p>
        </w:tc>
        <w:tc>
          <w:tcPr>
            <w:tcW w:type="dxa" w:w="5472"/>
            <w:vAlign w:val="center"/>
          </w:tcPr>
          <w:p>
            <w:pPr>
              <w:pStyle w:val="TableBody"/>
              <w:keepNext w:val="0"/>
            </w:pPr>
            <w:r>
              <w:t>Какие выводы поддерживает последующее наблюдение, а какие выходят за его пределы?</w:t>
            </w:r>
          </w:p>
        </w:tc>
      </w:tr>
    </w:tbl>
    <w:p>
      <w:pPr>
        <w:spacing w:after="40" w:before="0" w:line="240" w:lineRule="auto"/>
      </w:pPr>
      <w:r>
        <w:rPr>
          <w:sz w:val="4"/>
        </w:rPr>
      </w:r>
    </w:p>
    <w:p>
      <w:pPr/>
      <w:r>
        <w:t>Материалы различаются и по тому, что именно доступно для сравнения. Где-то источник описывает ошибку, где-то приведена спорная формулировка, где-то последующее наблюдение ограничивает выводы. Составленные примеры показывают возможные расширения при пересказе. Они не становятся дополнительными случаями из практики.</w:t>
      </w:r>
    </w:p>
    <w:p>
      <w:pPr/>
      <w:r>
        <w:t>Общий предмет — дальнейшая работа с записью. Результат связывают с человеком; заключение используют при выборе действия; диагноз включают в ответ на жалобу; новую запись сопоставляют со старой. В каждом переходе можно указать, что добавилось и на каком основании. Новое содержание не обязано быть ошибочным. Если оно обосновано, разбор должен это учитывать.</w:t>
      </w:r>
    </w:p>
    <w:p>
      <w:pPr/>
      <w:r>
        <w:t>Запись может быть необходимой для решения. Её использование может иметь последствия; само описание при этом не становится человеком. Чтобы проследить эти последствия, нужны конкретные связи между документами, решениями и сообщениями об исполнении. Одного названия заболевания для этого недостаточно.</w:t>
      </w:r>
    </w:p>
    <w:p>
      <w:pPr/>
      <w:r>
        <w:t>Дальнейшие разделы рассматривают такие связи по отдельности: от изображения и числа до диагноза, назначения, аппаратной команды и сообщения о результате лечения.</w:t>
      </w:r>
    </w:p>
    <w:p>
      <w:pPr>
        <w:pStyle w:val="Heading1"/>
      </w:pPr>
      <w:bookmarkStart w:id="9" w:name="contents"/>
      <w:r>
        <w:t>Содержание</w:t>
      </w:r>
      <w:bookmarkEnd w:id="9"/>
    </w:p>
    <w:p>
      <w:pPr>
        <w:keepNext/>
        <w:spacing w:after="60" w:line="252" w:lineRule="auto"/>
      </w:pPr>
      <w:hyperlink w:anchor="section_1">
        <w:r>
          <w:rPr>
            <w:color w:val="000000"/>
            <w:sz w:val="20"/>
          </w:rPr>
          <w:t xml:space="preserve">1 Рак: результат прочитан, но к кому он относится?</w:t>
        </w:r>
      </w:hyperlink>
    </w:p>
    <w:p>
      <w:pPr>
        <w:keepNext/>
        <w:spacing w:after="60" w:line="252" w:lineRule="auto"/>
      </w:pPr>
      <w:hyperlink w:anchor="section_2">
        <w:r>
          <w:rPr>
            <w:color w:val="000000"/>
            <w:sz w:val="20"/>
          </w:rPr>
          <w:t xml:space="preserve">2 ВИЧ: положительный тест и диагностическое заключение</w:t>
        </w:r>
      </w:hyperlink>
    </w:p>
    <w:p>
      <w:pPr>
        <w:keepNext/>
        <w:spacing w:after="60" w:line="252" w:lineRule="auto"/>
      </w:pPr>
      <w:hyperlink w:anchor="section_3">
        <w:r>
          <w:rPr>
            <w:color w:val="000000"/>
            <w:sz w:val="20"/>
          </w:rPr>
          <w:t xml:space="preserve">3 COVID-19: изоляция до результата и после него</w:t>
        </w:r>
      </w:hyperlink>
    </w:p>
    <w:p>
      <w:pPr>
        <w:keepNext/>
        <w:spacing w:after="60" w:line="252" w:lineRule="auto"/>
      </w:pPr>
      <w:hyperlink w:anchor="section_4">
        <w:r>
          <w:rPr>
            <w:color w:val="000000"/>
            <w:sz w:val="20"/>
          </w:rPr>
          <w:t xml:space="preserve">4 Аутизм: ответ на жалобу заменён суждением о человеке</w:t>
        </w:r>
      </w:hyperlink>
    </w:p>
    <w:p>
      <w:pPr>
        <w:keepNext/>
        <w:spacing w:after="60" w:line="252" w:lineRule="auto"/>
      </w:pPr>
      <w:hyperlink w:anchor="section_5">
        <w:r>
          <w:rPr>
            <w:color w:val="000000"/>
            <w:sz w:val="20"/>
          </w:rPr>
          <w:t xml:space="preserve">5 Астма: прежнее объяснение и новые исследования</w:t>
        </w:r>
      </w:hyperlink>
    </w:p>
    <w:p>
      <w:pPr>
        <w:keepNext/>
        <w:spacing w:after="60" w:line="252" w:lineRule="auto"/>
      </w:pPr>
      <w:hyperlink w:anchor="section_6">
        <w:r>
          <w:rPr>
            <w:color w:val="000000"/>
            <w:sz w:val="20"/>
          </w:rPr>
          <w:t xml:space="preserve">6 СДВГ: что позволяет утверждать последующее наблюдение</w:t>
        </w:r>
      </w:hyperlink>
    </w:p>
    <w:p>
      <w:pPr>
        <w:keepNext/>
        <w:spacing w:after="60" w:line="252" w:lineRule="auto"/>
      </w:pPr>
      <w:hyperlink w:anchor="section_7">
        <w:r>
          <w:rPr>
            <w:color w:val="000000"/>
            <w:sz w:val="20"/>
          </w:rPr>
          <w:t xml:space="preserve">7 Шесть разных переходов</w:t>
        </w:r>
      </w:hyperlink>
    </w:p>
    <w:p>
      <w:pPr>
        <w:keepNext/>
        <w:spacing w:after="60" w:line="252" w:lineRule="auto"/>
      </w:pPr>
      <w:hyperlink w:anchor="section_8">
        <w:r>
          <w:rPr>
            <w:color w:val="000000"/>
            <w:sz w:val="20"/>
          </w:rPr>
          <w:t xml:space="preserve">8 От заключения к решению</w:t>
        </w:r>
      </w:hyperlink>
    </w:p>
    <w:p>
      <w:pPr>
        <w:keepNext/>
        <w:spacing w:after="60" w:line="252" w:lineRule="auto"/>
      </w:pPr>
      <w:hyperlink w:anchor="section_9">
        <w:r>
          <w:rPr>
            <w:color w:val="000000"/>
            <w:sz w:val="20"/>
          </w:rPr>
          <w:t xml:space="preserve">9 Название и выбор лечения</w:t>
        </w:r>
      </w:hyperlink>
    </w:p>
    <w:p>
      <w:pPr>
        <w:keepNext/>
        <w:spacing w:after="60" w:line="252" w:lineRule="auto"/>
      </w:pPr>
      <w:hyperlink w:anchor="section_10">
        <w:r>
          <w:rPr>
            <w:color w:val="000000"/>
            <w:sz w:val="20"/>
          </w:rPr>
          <w:t xml:space="preserve">10 Новое название и условия его применения</w:t>
        </w:r>
      </w:hyperlink>
    </w:p>
    <w:p>
      <w:pPr>
        <w:keepNext/>
        <w:spacing w:after="60" w:line="252" w:lineRule="auto"/>
      </w:pPr>
      <w:hyperlink w:anchor="section_11">
        <w:r>
          <w:rPr>
            <w:color w:val="000000"/>
            <w:sz w:val="20"/>
          </w:rPr>
          <w:t xml:space="preserve">11 Что именно остаётся текстом</w:t>
        </w:r>
      </w:hyperlink>
    </w:p>
    <w:p>
      <w:pPr>
        <w:keepNext/>
        <w:spacing w:after="60" w:line="252" w:lineRule="auto"/>
      </w:pPr>
      <w:hyperlink w:anchor="section_12">
        <w:r>
          <w:rPr>
            <w:color w:val="000000"/>
            <w:sz w:val="20"/>
          </w:rPr>
          <w:t xml:space="preserve">12 Один диагноз в разных чтениях</w:t>
        </w:r>
      </w:hyperlink>
    </w:p>
    <w:p>
      <w:pPr>
        <w:keepNext/>
        <w:spacing w:after="60" w:line="252" w:lineRule="auto"/>
      </w:pPr>
      <w:hyperlink w:anchor="section_13">
        <w:r>
          <w:rPr>
            <w:color w:val="000000"/>
            <w:sz w:val="20"/>
          </w:rPr>
          <w:t xml:space="preserve">13 Все виды записей на пути диагностики и лечения</w:t>
        </w:r>
      </w:hyperlink>
    </w:p>
    <w:p>
      <w:pPr>
        <w:keepNext/>
        <w:spacing w:after="60" w:line="252" w:lineRule="auto"/>
      </w:pPr>
      <w:hyperlink w:anchor="section_14">
        <w:r>
          <w:rPr>
            <w:color w:val="000000"/>
            <w:sz w:val="20"/>
          </w:rPr>
          <w:t xml:space="preserve">14 Словесное описание аппарата и его работа</w:t>
        </w:r>
      </w:hyperlink>
    </w:p>
    <w:p>
      <w:pPr>
        <w:keepNext/>
        <w:spacing w:after="60" w:line="252" w:lineRule="auto"/>
      </w:pPr>
      <w:hyperlink w:anchor="section_15">
        <w:r>
          <w:rPr>
            <w:color w:val="000000"/>
            <w:sz w:val="20"/>
          </w:rPr>
          <w:t xml:space="preserve">15 Изображение и его словесное описание</w:t>
        </w:r>
      </w:hyperlink>
    </w:p>
    <w:p>
      <w:pPr>
        <w:keepNext/>
        <w:spacing w:after="60" w:line="252" w:lineRule="auto"/>
      </w:pPr>
      <w:hyperlink w:anchor="section_16">
        <w:r>
          <w:rPr>
            <w:color w:val="000000"/>
            <w:sz w:val="20"/>
          </w:rPr>
          <w:t xml:space="preserve">16 Числовой результат и диагностическое чтение</w:t>
        </w:r>
      </w:hyperlink>
    </w:p>
    <w:p>
      <w:pPr>
        <w:keepNext/>
        <w:spacing w:after="60" w:line="252" w:lineRule="auto"/>
      </w:pPr>
      <w:hyperlink w:anchor="section_17">
        <w:r>
          <w:rPr>
            <w:color w:val="000000"/>
            <w:sz w:val="20"/>
          </w:rPr>
          <w:t xml:space="preserve">17 Привязка образца и заключения к человеку</w:t>
        </w:r>
      </w:hyperlink>
    </w:p>
    <w:p>
      <w:pPr>
        <w:keepNext/>
        <w:spacing w:after="60" w:line="252" w:lineRule="auto"/>
      </w:pPr>
      <w:hyperlink w:anchor="section_18">
        <w:r>
          <w:rPr>
            <w:color w:val="000000"/>
            <w:sz w:val="20"/>
          </w:rPr>
          <w:t xml:space="preserve">18 Как запись участвует в последствиях</w:t>
        </w:r>
      </w:hyperlink>
    </w:p>
    <w:p>
      <w:pPr>
        <w:keepNext/>
        <w:spacing w:after="60" w:line="252" w:lineRule="auto"/>
      </w:pPr>
      <w:hyperlink w:anchor="section_19">
        <w:r>
          <w:rPr>
            <w:color w:val="000000"/>
            <w:sz w:val="20"/>
          </w:rPr>
          <w:t xml:space="preserve">19 План лечения и запись о сеансе</w:t>
        </w:r>
      </w:hyperlink>
    </w:p>
    <w:p>
      <w:pPr>
        <w:keepNext/>
        <w:spacing w:after="60" w:line="252" w:lineRule="auto"/>
      </w:pPr>
      <w:hyperlink w:anchor="section_20">
        <w:r>
          <w:rPr>
            <w:color w:val="000000"/>
            <w:sz w:val="20"/>
          </w:rPr>
          <w:t xml:space="preserve">20 Прогноз и будущее человека</w:t>
        </w:r>
      </w:hyperlink>
    </w:p>
    <w:p>
      <w:pPr>
        <w:keepNext/>
        <w:spacing w:after="60" w:line="252" w:lineRule="auto"/>
      </w:pPr>
      <w:hyperlink w:anchor="section_21">
        <w:r>
          <w:rPr>
            <w:color w:val="000000"/>
            <w:sz w:val="20"/>
          </w:rPr>
          <w:t xml:space="preserve">21 Перенос и исправление записей</w:t>
        </w:r>
      </w:hyperlink>
    </w:p>
    <w:p>
      <w:pPr>
        <w:keepNext/>
        <w:spacing w:after="60" w:line="252" w:lineRule="auto"/>
      </w:pPr>
      <w:hyperlink w:anchor="section_22">
        <w:r>
          <w:rPr>
            <w:color w:val="000000"/>
            <w:sz w:val="20"/>
          </w:rPr>
          <w:t xml:space="preserve">22 Как разобрать конкретное заключение</w:t>
        </w:r>
      </w:hyperlink>
    </w:p>
    <w:p>
      <w:pPr>
        <w:keepNext/>
        <w:spacing w:after="60" w:line="252" w:lineRule="auto"/>
      </w:pPr>
      <w:hyperlink w:anchor="section_23">
        <w:r>
          <w:rPr>
            <w:color w:val="000000"/>
            <w:sz w:val="20"/>
          </w:rPr>
          <w:t xml:space="preserve">23 Восемь составленных примеров</w:t>
        </w:r>
      </w:hyperlink>
    </w:p>
    <w:p>
      <w:pPr>
        <w:keepNext/>
        <w:spacing w:after="60" w:line="252" w:lineRule="auto"/>
      </w:pPr>
      <w:hyperlink w:anchor="section_24">
        <w:r>
          <w:rPr>
            <w:color w:val="000000"/>
            <w:sz w:val="20"/>
          </w:rPr>
          <w:t xml:space="preserve">24 Материал и охват исследования</w:t>
        </w:r>
      </w:hyperlink>
    </w:p>
    <w:p>
      <w:pPr>
        <w:keepNext/>
        <w:spacing w:after="60" w:line="252" w:lineRule="auto"/>
      </w:pPr>
      <w:hyperlink w:anchor="section_25">
        <w:r>
          <w:rPr>
            <w:color w:val="000000"/>
            <w:sz w:val="20"/>
          </w:rPr>
          <w:t xml:space="preserve">25 Связь с исследованиями beforeword</w:t>
        </w:r>
      </w:hyperlink>
    </w:p>
    <w:p>
      <w:pPr>
        <w:keepNext/>
        <w:spacing w:after="60" w:line="252" w:lineRule="auto"/>
      </w:pPr>
      <w:hyperlink w:anchor="section_26">
        <w:r>
          <w:rPr>
            <w:color w:val="000000"/>
            <w:sz w:val="20"/>
          </w:rPr>
          <w:t xml:space="preserve">26 Когда этот разбор нужно изменить</w:t>
        </w:r>
      </w:hyperlink>
    </w:p>
    <w:p>
      <w:pPr>
        <w:keepNext/>
        <w:spacing w:after="60" w:line="252" w:lineRule="auto"/>
      </w:pPr>
      <w:hyperlink w:anchor="section_27">
        <w:r>
          <w:rPr>
            <w:color w:val="000000"/>
            <w:sz w:val="20"/>
          </w:rPr>
          <w:t xml:space="preserve">27 Что проверять при следующем использовании записи</w:t>
        </w:r>
      </w:hyperlink>
    </w:p>
    <w:p>
      <w:pPr>
        <w:keepNext w:val="0"/>
        <w:spacing w:after="60" w:line="252" w:lineRule="auto"/>
      </w:pPr>
      <w:hyperlink w:anchor="sources">
        <w:r>
          <w:rPr>
            <w:color w:val="000000"/>
            <w:sz w:val="20"/>
          </w:rPr>
          <w:t xml:space="preserve">Источники и состав корпуса</w:t>
        </w:r>
      </w:hyperlink>
    </w:p>
    <w:p>
      <w:r>
        <w:br w:type="page"/>
      </w:r>
    </w:p>
    <w:p>
      <w:pPr>
        <w:pStyle w:val="Heading1"/>
      </w:pPr>
      <w:bookmarkStart w:id="10" w:name="section_8"/>
      <w:r>
        <w:t>8 От заключения к решению</w:t>
      </w:r>
      <w:bookmarkEnd w:id="10"/>
    </w:p>
    <w:p>
      <w:pPr>
        <w:keepNext/>
      </w:pPr>
      <w:r>
        <w:t>В первом случае исследования различались чтение материала и принадлежность результата. Для продолжения этого разбора составлены две строки:</w:t>
      </w:r>
    </w:p>
    <w:p>
      <w:pPr/>
      <w:r>
        <w:t>«В исследованном материале установлена злокачественная опухоль».</w:t>
      </w:r>
    </w:p>
    <w:p>
      <w:pPr/>
      <w:r>
        <w:t>«У данного человека установлена злокачественная опухоль».</w:t>
      </w:r>
    </w:p>
    <w:p>
      <w:pPr/>
      <w:r>
        <w:t>Обе строки сохраняют степень уверенности «установлена». Во второй добавлено утверждение, что результат относится к конкретному человеку. Для обоснования этой связи существенны маркировка образца, документы о его происхождении и основания заключения. Повтор названия опухоли эту связь не устанавливает. Эти строки не являются цитатами отчёта HDC.</w:t>
      </w:r>
    </w:p>
    <w:p>
      <w:pPr/>
      <w:r>
        <w:t>Следующая фраза — «этому человеку показана операция» — добавила бы утверждение о применимости вмешательства. Фраза «операция выполнена» сообщала бы уже об исполнении. Чтобы рассмотреть эти утверждения, нужны разные документы. Нельзя дописать отсутствующий протокол операции к истории только потому, что в ней упомянут диагноз.</w:t>
      </w:r>
    </w:p>
    <w:p>
      <w:pPr/>
      <w:r>
        <w:t>В этой работе подменой называется переход, при котором без указанного основания одна запись пересказывается как другое утверждение: подозрение — как установленный диагноз, результат исследования образца — как описание всего человека, назначение — как выполненная процедура. Слово «подмена» добавляет название; для разбора всё равно нужны обе записи и точное указание на добавленное или изменённое.</w:t>
      </w:r>
    </w:p>
    <w:p>
      <w:pPr/>
      <w:r>
        <w:t xml:space="preserve">Новое заключение может опираться на дополнительные исследования. Тогда изменение формулировки требует рассмотрения новых оснований. Отнесение диагноза к человеку также не означает, что запись объявлена самим человеком. </w:t>
      </w:r>
      <w:r>
        <w:rPr>
          <w:b/>
        </w:rPr>
        <w:t>Отнесение и отождествление — разные отношения.</w:t>
      </w:r>
      <w:r>
        <w:t xml:space="preserve"> Их названия здесь остаются словами; разбирать нужно конкретное употребление.</w:t>
      </w:r>
    </w:p>
    <w:p>
      <w:pPr>
        <w:pStyle w:val="Heading1"/>
      </w:pPr>
      <w:bookmarkStart w:id="11" w:name="section_9"/>
      <w:r>
        <w:t>9 Название и выбор лечения</w:t>
      </w:r>
      <w:bookmarkEnd w:id="11"/>
    </w:p>
    <w:p>
      <w:pPr/>
      <w:r>
        <w:t xml:space="preserve">Nickel и соавторы (2018): 550 взрослых, ранее не болевших раком щитовидной железы, три гипотетических сценария, случайный порядок показа. Названия менялись, варианты лечения и риски сохранялись. Таблица показывает выбор полного удаления щитовидной железы в ответах, а не проведённые операции. </w:t>
      </w:r>
      <w:r>
        <w:t>[</w:t>
      </w:r>
      <w:hyperlink w:anchor="source_14">
        <w:r>
          <w:rPr>
            <w:color w:val="000000"/>
          </w:rPr>
          <w:t xml:space="preserve">14</w:t>
        </w:r>
      </w:hyperlink>
      <w:r>
        <w:t>, Methods; таблица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4032"/>
        <w:gridCol w:w="5472"/>
      </w:tblGrid>
      <w:tr>
        <w:trPr>
          <w:cantSplit/>
          <w:tblHeader/>
        </w:trPr>
        <w:tc>
          <w:tcPr>
            <w:tcW w:type="dxa" w:w="4032"/>
            <w:vAlign w:val="center"/>
            <w:shd w:fill="EDEDED"/>
          </w:tcPr>
          <w:p>
            <w:pPr>
              <w:pStyle w:val="TableHeader"/>
              <w:keepNext/>
            </w:pPr>
            <w:r>
              <w:t>Название в сценарии</w:t>
            </w:r>
          </w:p>
        </w:tc>
        <w:tc>
          <w:tcPr>
            <w:tcW w:type="dxa" w:w="5472"/>
            <w:vAlign w:val="center"/>
            <w:shd w:fill="EDEDED"/>
          </w:tcPr>
          <w:p>
            <w:pPr>
              <w:pStyle w:val="TableHeader"/>
              <w:keepNext/>
            </w:pPr>
            <w:r>
              <w:t>Ответы по всем предъявлениям</w:t>
            </w:r>
          </w:p>
        </w:tc>
      </w:tr>
      <w:tr>
        <w:trPr>
          <w:cantSplit/>
        </w:trPr>
        <w:tc>
          <w:tcPr>
            <w:tcW w:type="dxa" w:w="4032"/>
            <w:vAlign w:val="center"/>
          </w:tcPr>
          <w:p>
            <w:pPr>
              <w:pStyle w:val="TableBody"/>
              <w:keepNext w:val="0"/>
            </w:pPr>
            <w:r>
              <w:t>papillary thyroid cancer</w:t>
            </w:r>
          </w:p>
        </w:tc>
        <w:tc>
          <w:tcPr>
            <w:tcW w:type="dxa" w:w="5472"/>
            <w:vAlign w:val="center"/>
          </w:tcPr>
          <w:p>
            <w:pPr>
              <w:pStyle w:val="TableBody"/>
              <w:keepNext w:val="0"/>
            </w:pPr>
            <w:r>
              <w:t>108/550 (19,6%)</w:t>
            </w:r>
          </w:p>
        </w:tc>
      </w:tr>
      <w:tr>
        <w:trPr>
          <w:cantSplit/>
        </w:trPr>
        <w:tc>
          <w:tcPr>
            <w:tcW w:type="dxa" w:w="4032"/>
            <w:vAlign w:val="center"/>
          </w:tcPr>
          <w:p>
            <w:pPr>
              <w:pStyle w:val="TableBody"/>
              <w:keepNext w:val="0"/>
            </w:pPr>
            <w:r>
              <w:t>papillary lesion</w:t>
            </w:r>
          </w:p>
        </w:tc>
        <w:tc>
          <w:tcPr>
            <w:tcW w:type="dxa" w:w="5472"/>
            <w:vAlign w:val="center"/>
          </w:tcPr>
          <w:p>
            <w:pPr>
              <w:pStyle w:val="TableBody"/>
              <w:keepNext w:val="0"/>
            </w:pPr>
            <w:r>
              <w:t>58/550 (10,5%)</w:t>
            </w:r>
          </w:p>
        </w:tc>
      </w:tr>
      <w:tr>
        <w:trPr>
          <w:cantSplit/>
        </w:trPr>
        <w:tc>
          <w:tcPr>
            <w:tcW w:type="dxa" w:w="4032"/>
            <w:vAlign w:val="center"/>
          </w:tcPr>
          <w:p>
            <w:pPr>
              <w:pStyle w:val="TableBody"/>
              <w:keepNext w:val="0"/>
            </w:pPr>
            <w:r>
              <w:t>abnormal cells</w:t>
            </w:r>
          </w:p>
        </w:tc>
        <w:tc>
          <w:tcPr>
            <w:tcW w:type="dxa" w:w="5472"/>
            <w:vAlign w:val="center"/>
          </w:tcPr>
          <w:p>
            <w:pPr>
              <w:pStyle w:val="TableBody"/>
              <w:keepNext w:val="0"/>
            </w:pPr>
            <w:r>
              <w:t>60/550 (10,9%)</w:t>
            </w:r>
          </w:p>
        </w:tc>
      </w:tr>
    </w:tbl>
    <w:p>
      <w:pPr>
        <w:spacing w:after="40" w:before="0" w:line="240" w:lineRule="auto"/>
      </w:pPr>
      <w:r>
        <w:rPr>
          <w:sz w:val="4"/>
        </w:rPr>
      </w:r>
    </w:p>
    <w:p>
      <w:pPr/>
      <w:r>
        <w:t xml:space="preserve">Пояснения: папиллярный рак щитовидной железы; папиллярное образование; аномальные клетки. При первом предъявлении различия в выборе любой операции статистической значимости не достигли; выявлены эффекты порядка показа. Это не исследование NIFTP. </w:t>
      </w:r>
      <w:r>
        <w:t>[</w:t>
      </w:r>
      <w:hyperlink w:anchor="source_14">
        <w:r>
          <w:rPr>
            <w:color w:val="000000"/>
          </w:rPr>
          <w:t xml:space="preserve">14</w:t>
        </w:r>
      </w:hyperlink>
      <w:r>
        <w:t>, таблица 3; Treatment Choice]</w:t>
      </w:r>
    </w:p>
    <w:p>
      <w:pPr/>
      <w:r>
        <w:t>У этого материала четыре разных уровня: название в сценарии, ответ участника, сводная таблица и авторский вывод. Если последующий пересказ назовёт ответы «проведёнными операциями», он заменит предмет сообщения. Если он объяснит все различия одним словом без учёта порядка показа, он отбросит условие исследования.</w:t>
      </w:r>
    </w:p>
    <w:p>
      <w:pPr/>
      <w:r>
        <w:t>То же относится к описанию переживаний. Название шкалы тревоги, ответы и их обработка не дают полного рассказа о том, что пережил каждый участник. Чтобы обсудить результат, нужно сохранить способ его получения. Запись о переживании не становится переживанием.</w:t>
      </w:r>
    </w:p>
    <w:p>
      <w:pPr>
        <w:pStyle w:val="Heading1"/>
      </w:pPr>
      <w:bookmarkStart w:id="12" w:name="section_10"/>
      <w:r>
        <w:t>10 Новое название и условия его применения</w:t>
      </w:r>
      <w:bookmarkEnd w:id="12"/>
    </w:p>
    <w:p>
      <w:pPr/>
      <w:r>
        <w:t xml:space="preserve">Nikiforov и соавторы (2016) предложили NIFTP для отобранной неинвазивной группы опухолей щитовидной железы, прежде классифицировавшихся как карцинома. Все 109 пациентов после операции были живы без признаков заболевания при последнем наблюдении: 67 перенесли только удаление доли, никто не получил радиоактивный йод. Наблюдение — 10–26 лет, медиана 13. NIFTP означает неинвазивную фолликулярную опухоль щитовидной железы с папиллярноподобными ядерными признаками. Это данные после лечения. </w:t>
      </w:r>
      <w:r>
        <w:t>[</w:t>
      </w:r>
      <w:hyperlink w:anchor="source_11">
        <w:r>
          <w:rPr>
            <w:color w:val="000000"/>
          </w:rPr>
          <w:t xml:space="preserve">11</w:t>
        </w:r>
      </w:hyperlink>
      <w:r>
        <w:t>, Abstract; Results]</w:t>
      </w:r>
    </w:p>
    <w:p>
      <w:pPr/>
      <w:r>
        <w:t>Из этих данных нельзя получить исходы нелеченных опухолей. Переименование также не означает, что опухоль исчезла после удаления слова из названия. Вопрос относится к критериям категории и основаниям их пересмотра.</w:t>
      </w:r>
    </w:p>
    <w:p>
      <w:pPr/>
      <w:r>
        <w:t xml:space="preserve">Американская тиреоидная ассоциация связывает новое обозначение с уменьшением избыточного лечения. На странице для пациентов ассоциация указывает: для установления NIFTP необходимо исследовать удалённую опухоль по диагностическим критериям. Рекомендации относятся к установленной категории; одно новое название не даёт основания отменять лечение при другом или ещё не установленном диагнозе. </w:t>
      </w:r>
      <w:r>
        <w:t>[</w:t>
      </w:r>
      <w:hyperlink w:anchor="source_13">
        <w:r>
          <w:rPr>
            <w:color w:val="000000"/>
          </w:rPr>
          <w:t xml:space="preserve">13</w:t>
        </w:r>
      </w:hyperlink>
      <w:r>
        <w:t>, Why the Name Change; How Is NIFTP Diagnosed]</w:t>
      </w:r>
    </w:p>
    <w:p>
      <w:pPr/>
      <w:r>
        <w:t>Прежнее и новое названия могут предполагать разные дальнейшие решения. Поэтому нужно проследить, на каком основании категория пересмотрена и какие рекомендации с ней связаны. Изменение бывает содержательным; его нельзя свести к произвольной замене букв. Но ни прежнее, ни новое название не становится опухолью.</w:t>
      </w:r>
    </w:p>
    <w:p>
      <w:pPr>
        <w:pStyle w:val="Heading2"/>
      </w:pPr>
      <w:bookmarkStart w:id="13" w:name="a_093e74ea2d851528828dae72639602"/>
      <w:r>
        <w:t>Одно сокращение и разные критерии</w:t>
      </w:r>
      <w:bookmarkEnd w:id="13"/>
    </w:p>
    <w:p>
      <w:pPr>
        <w:keepNext/>
      </w:pPr>
      <w:r>
        <w:t>В 2018 году Nikiforov и соавторы предложили заменить один из критериев NIFTP. В источнике сопоставлены формулировки:</w:t>
      </w:r>
    </w:p>
    <w:p>
      <w:pPr>
        <w:keepNext/>
        <w:spacing w:before="40" w:after="140"/>
        <w:ind w:left="360"/>
      </w:pPr>
      <w:r>
        <w:t>less than 1% papillae</w:t>
      </w:r>
    </w:p>
    <w:p>
      <w:pPr>
        <w:keepNext/>
        <w:spacing w:before="40" w:after="140"/>
        <w:ind w:left="360"/>
      </w:pPr>
      <w:r>
        <w:t>no well-formed papillae</w:t>
      </w:r>
    </w:p>
    <w:p>
      <w:pPr/>
      <w:r>
        <w:t xml:space="preserve">Здесь они переданы как «менее 1% папилл» и «отсутствие сформированных папилл». Предложение последовало за рассмотрением новых публикаций и трудностей применения критерия. Эти два фрагмента не составляют полный диагностический протокол. </w:t>
      </w:r>
      <w:r>
        <w:t>[</w:t>
      </w:r>
      <w:hyperlink w:anchor="source_12">
        <w:r>
          <w:rPr>
            <w:color w:val="000000"/>
          </w:rPr>
          <w:t xml:space="preserve">12</w:t>
        </w:r>
      </w:hyperlink>
      <w:r>
        <w:t>, Discussion]</w:t>
      </w:r>
    </w:p>
    <w:p>
      <w:pPr/>
      <w:r>
        <w:t xml:space="preserve">На использованной странице ATA сохраняется порог менее 1%. Поэтому ссылки на эти документы нельзя объединить в одну неизменную инструкцию. Для конкретного случая необходимо назвать редакцию критериев и рассмотреть их полностью; эта работа не устанавливает протокол какой-либо клиники. </w:t>
      </w:r>
      <w:r>
        <w:t>[</w:t>
      </w:r>
      <w:hyperlink w:anchor="source_12">
        <w:r>
          <w:rPr>
            <w:color w:val="000000"/>
          </w:rPr>
          <w:t xml:space="preserve">12</w:t>
        </w:r>
      </w:hyperlink>
      <w:r>
        <w:t xml:space="preserve">; </w:t>
      </w:r>
      <w:hyperlink w:anchor="source_13">
        <w:r>
          <w:rPr>
            <w:color w:val="000000"/>
          </w:rPr>
          <w:t xml:space="preserve">13</w:t>
        </w:r>
      </w:hyperlink>
      <w:r>
        <w:t>, What Is NIFTP]</w:t>
      </w:r>
    </w:p>
    <w:p>
      <w:pPr/>
      <w:r>
        <w:t>В этих документах одно сокращение NIFTP сопровождается разными критериями. Фраза «по критериям NIFTP» оставляет вопрос о версии открытым. Указание редакции позволяет сравнить правила; повтор сокращения этого не делает.</w:t>
      </w:r>
    </w:p>
    <w:p>
      <w:pPr>
        <w:pStyle w:val="Heading1"/>
      </w:pPr>
      <w:bookmarkStart w:id="14" w:name="section_11"/>
      <w:r>
        <w:t>11 Что именно остаётся текстом</w:t>
      </w:r>
      <w:bookmarkEnd w:id="14"/>
    </w:p>
    <w:p>
      <w:pPr>
        <w:keepNext/>
        <w:spacing w:before="40" w:after="140"/>
        <w:ind w:left="360"/>
      </w:pPr>
      <w:r>
        <w:t>рак</w:t>
      </w:r>
    </w:p>
    <w:p>
      <w:pPr>
        <w:keepNext/>
        <w:spacing w:before="40" w:after="140"/>
        <w:ind w:left="360"/>
      </w:pPr>
      <w:r>
        <w:t>р а к</w:t>
      </w:r>
    </w:p>
    <w:p>
      <w:pPr/>
      <w:r>
        <w:t>В первой строке три буквы стоят рядом, во второй между ними добавлены пробелы. Прочтение обеих строк как одного медицинского названия не является осмотром человека. Рост, повреждение или распространение, описанные при помощи этого названия, не становятся свойствами букв. Слова «рост», «клетки» и «тело» не получают исключения за счёт специального употребления.</w:t>
      </w:r>
    </w:p>
    <w:p>
      <w:pPr/>
      <w:r>
        <w:t>Документ без диагностического названия не содержит фразу «заболевания нет». Документ с таким названием не содержит фразу «заболевание есть у любого выбранного человека». Для заключения о конкретном случае нужны записи об основаниях и о связи с этим случаем. Какой бы вывод затем ни был записан, слово «рак» остаётся написанным словом «рак»: оно не становится заболеванием, а эта фраза остаётся ещё одной записью.</w:t>
      </w:r>
    </w:p>
    <w:p>
      <w:pPr>
        <w:pStyle w:val="Heading2"/>
      </w:pPr>
      <w:bookmarkStart w:id="15" w:name="a_d365506be47590ddcaa0b644de887b"/>
      <w:r>
        <w:t>Связь не превращает запись в человека</w:t>
      </w:r>
      <w:bookmarkEnd w:id="15"/>
    </w:p>
    <w:p>
      <w:pPr/>
      <w:r>
        <w:t>Утверждение «описание относится к человеку» отличается от утверждения «описание является человеком». Первое требует основания для отнесения. Второе подставляет описание на место того, что описано. Даже очень подробная карта не содержит человека: её «полнота» определяется тем, какие сведения требуются для выбранной задачи.</w:t>
      </w:r>
    </w:p>
    <w:p>
      <w:pPr>
        <w:keepNext/>
        <w:spacing w:before="40" w:after="140"/>
        <w:ind w:left="360"/>
      </w:pPr>
      <w:r>
        <w:t>ж и з н ь ч е л о в е к а</w:t>
      </w:r>
    </w:p>
    <w:p>
      <w:pPr/>
      <w:r>
        <w:t>Разрядка выделяет написание. Она не предъявляет жизнь человека. Фраза «теперь вся жизнь определена диагнозом» добавляет «вся жизнь» и «определена». Эти добавления нужно рассмотреть: что именно названо определённым и на каком основании? Любая последующая фраза о том, обосновано это сообщение или нет, будет ещё одной записью и потребует своих оснований.</w:t>
      </w:r>
    </w:p>
    <w:p>
      <w:pPr>
        <w:pStyle w:val="Heading2"/>
      </w:pPr>
      <w:bookmarkStart w:id="16" w:name="a_f17c904b2e8a34507d63d3a7874c2b"/>
      <w:r>
        <w:t>Оценка тоже записана</w:t>
      </w:r>
      <w:bookmarkEnd w:id="16"/>
    </w:p>
    <w:p>
      <w:pPr/>
      <w:r>
        <w:t>Слово «полезно» добавляет оценку. Оно не содержит критерия пользы, описания применения и сообщения о результате. Эти сведения могут быть приведены отдельно и рассмотрены. Тогда меняются основания оценки, но запись не становится описанным применением или результатом.</w:t>
      </w:r>
    </w:p>
    <w:p>
      <w:pPr/>
      <w:r>
        <w:t>То же относится к словам «истинно», «подтверждено», «бесполезно» и «ложно». Их написание не удостоверяет оценку.</w:t>
      </w:r>
    </w:p>
    <w:p>
      <w:pPr>
        <w:pStyle w:val="Heading2"/>
      </w:pPr>
      <w:bookmarkStart w:id="17" w:name="a_a7e1fe5262fd87a6ee79771b37948d"/>
      <w:r>
        <w:t>Слово «граница» тоже написано</w:t>
      </w:r>
      <w:bookmarkEnd w:id="17"/>
    </w:p>
    <w:p>
      <w:pPr/>
      <w:r>
        <w:t>«Начертания из линий» — тоже описание. «Буквы», «знаки», «символы», «линии» и «текст» входят в это исследование как написания. Ни одно не становится окончательным объяснением только потому, что им названо устройство письма.</w:t>
      </w:r>
    </w:p>
    <w:p>
      <w:pPr/>
      <w:r>
        <w:t xml:space="preserve">Фраза «Текст есть текст» также остаётся записью. Слова «различие» и «граница» состоят из букв; это пояснение также остаётся текстом. </w:t>
      </w:r>
      <w:r>
        <w:rPr>
          <w:b/>
        </w:rPr>
        <w:t>Ни описание, ни оценка описания не становятся тем, что называют.</w:t>
      </w:r>
    </w:p>
    <w:p>
      <w:pPr>
        <w:pStyle w:val="Heading1"/>
      </w:pPr>
      <w:bookmarkStart w:id="18" w:name="section_12"/>
      <w:r>
        <w:t>12 Один диагноз в разных чтениях</w:t>
      </w:r>
      <w:bookmarkEnd w:id="18"/>
    </w:p>
    <w:p>
      <w:pPr/>
      <w:r>
        <w:t>Во всех строках следующей таблицы подразумевается одно написание: «папиллярный рак щитовидной железы». Таблица составлена для исследования и не передаёт мысли конкретных пациентов или специалистов.</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4032"/>
        <w:gridCol w:w="5472"/>
      </w:tblGrid>
      <w:tr>
        <w:trPr>
          <w:cantSplit/>
          <w:tblHeader/>
        </w:trPr>
        <w:tc>
          <w:tcPr>
            <w:tcW w:type="dxa" w:w="4032"/>
            <w:vAlign w:val="center"/>
            <w:shd w:fill="EDEDED"/>
          </w:tcPr>
          <w:p>
            <w:pPr>
              <w:pStyle w:val="TableHeader"/>
              <w:keepNext/>
            </w:pPr>
            <w:r>
              <w:t>Как используется название</w:t>
            </w:r>
          </w:p>
        </w:tc>
        <w:tc>
          <w:tcPr>
            <w:tcW w:type="dxa" w:w="5472"/>
            <w:vAlign w:val="center"/>
            <w:shd w:fill="EDEDED"/>
          </w:tcPr>
          <w:p>
            <w:pPr>
              <w:pStyle w:val="TableHeader"/>
              <w:keepNext/>
            </w:pPr>
            <w:r>
              <w:t>Что добавляется</w:t>
            </w:r>
          </w:p>
        </w:tc>
      </w:tr>
      <w:tr>
        <w:trPr>
          <w:cantSplit/>
        </w:trPr>
        <w:tc>
          <w:tcPr>
            <w:tcW w:type="dxa" w:w="4032"/>
            <w:vAlign w:val="center"/>
          </w:tcPr>
          <w:p>
            <w:pPr>
              <w:pStyle w:val="TableBody"/>
              <w:keepNext w:val="0"/>
            </w:pPr>
            <w:r>
              <w:t>Диагностическая категория</w:t>
            </w:r>
          </w:p>
        </w:tc>
        <w:tc>
          <w:tcPr>
            <w:tcW w:type="dxa" w:w="5472"/>
            <w:vAlign w:val="center"/>
          </w:tcPr>
          <w:p>
            <w:pPr>
              <w:pStyle w:val="TableBody"/>
              <w:keepNext w:val="0"/>
            </w:pPr>
            <w:r>
              <w:t>Основания для отнесения случая к категории</w:t>
            </w:r>
          </w:p>
        </w:tc>
      </w:tr>
      <w:tr>
        <w:trPr>
          <w:cantSplit/>
        </w:trPr>
        <w:tc>
          <w:tcPr>
            <w:tcW w:type="dxa" w:w="4032"/>
            <w:vAlign w:val="center"/>
          </w:tcPr>
          <w:p>
            <w:pPr>
              <w:pStyle w:val="TableBody"/>
              <w:keepNext w:val="0"/>
            </w:pPr>
            <w:r>
              <w:t>Следующее обследование</w:t>
            </w:r>
          </w:p>
        </w:tc>
        <w:tc>
          <w:tcPr>
            <w:tcW w:type="dxa" w:w="5472"/>
            <w:vAlign w:val="center"/>
          </w:tcPr>
          <w:p>
            <w:pPr>
              <w:pStyle w:val="TableBody"/>
              <w:keepNext w:val="0"/>
            </w:pPr>
            <w:r>
              <w:t>Решение, цель и условия процедуры</w:t>
            </w:r>
          </w:p>
        </w:tc>
      </w:tr>
      <w:tr>
        <w:trPr>
          <w:cantSplit/>
        </w:trPr>
        <w:tc>
          <w:tcPr>
            <w:tcW w:type="dxa" w:w="4032"/>
            <w:vAlign w:val="center"/>
          </w:tcPr>
          <w:p>
            <w:pPr>
              <w:pStyle w:val="TableBody"/>
              <w:keepNext w:val="0"/>
            </w:pPr>
            <w:r>
              <w:t>Выбор лечения</w:t>
            </w:r>
          </w:p>
        </w:tc>
        <w:tc>
          <w:tcPr>
            <w:tcW w:type="dxa" w:w="5472"/>
            <w:vAlign w:val="center"/>
          </w:tcPr>
          <w:p>
            <w:pPr>
              <w:pStyle w:val="TableBody"/>
              <w:keepNext w:val="0"/>
            </w:pPr>
            <w:r>
              <w:t>Сопоставление вариантов и их применимость к случаю</w:t>
            </w:r>
          </w:p>
        </w:tc>
      </w:tr>
      <w:tr>
        <w:trPr>
          <w:cantSplit/>
        </w:trPr>
        <w:tc>
          <w:tcPr>
            <w:tcW w:type="dxa" w:w="4032"/>
            <w:vAlign w:val="center"/>
          </w:tcPr>
          <w:p>
            <w:pPr>
              <w:pStyle w:val="TableBody"/>
              <w:keepNext w:val="0"/>
            </w:pPr>
            <w:r>
              <w:t>Прогноз</w:t>
            </w:r>
          </w:p>
        </w:tc>
        <w:tc>
          <w:tcPr>
            <w:tcW w:type="dxa" w:w="5472"/>
            <w:vAlign w:val="center"/>
          </w:tcPr>
          <w:p>
            <w:pPr>
              <w:pStyle w:val="TableBody"/>
              <w:keepNext w:val="0"/>
            </w:pPr>
            <w:r>
              <w:t>Оценка вероятного течения с учётом дополнительных сведений</w:t>
            </w:r>
          </w:p>
        </w:tc>
      </w:tr>
      <w:tr>
        <w:trPr>
          <w:cantSplit/>
        </w:trPr>
        <w:tc>
          <w:tcPr>
            <w:tcW w:type="dxa" w:w="4032"/>
            <w:vAlign w:val="center"/>
          </w:tcPr>
          <w:p>
            <w:pPr>
              <w:pStyle w:val="TableBody"/>
              <w:keepNext w:val="0"/>
            </w:pPr>
            <w:r>
              <w:t>Административная запись</w:t>
            </w:r>
          </w:p>
        </w:tc>
        <w:tc>
          <w:tcPr>
            <w:tcW w:type="dxa" w:w="5472"/>
            <w:vAlign w:val="center"/>
          </w:tcPr>
          <w:p>
            <w:pPr>
              <w:pStyle w:val="TableBody"/>
              <w:keepNext w:val="0"/>
            </w:pPr>
            <w:r>
              <w:t>Код, правило использования и конкретное решение</w:t>
            </w:r>
          </w:p>
        </w:tc>
      </w:tr>
      <w:tr>
        <w:trPr>
          <w:cantSplit/>
        </w:trPr>
        <w:tc>
          <w:tcPr>
            <w:tcW w:type="dxa" w:w="4032"/>
            <w:vAlign w:val="center"/>
          </w:tcPr>
          <w:p>
            <w:pPr>
              <w:pStyle w:val="TableBody"/>
              <w:keepNext w:val="0"/>
            </w:pPr>
            <w:r>
              <w:t>Рассказ о себе</w:t>
            </w:r>
          </w:p>
        </w:tc>
        <w:tc>
          <w:tcPr>
            <w:tcW w:type="dxa" w:w="5472"/>
            <w:vAlign w:val="center"/>
          </w:tcPr>
          <w:p>
            <w:pPr>
              <w:pStyle w:val="TableBody"/>
              <w:keepNext w:val="0"/>
            </w:pPr>
            <w:r>
              <w:t>То, что человек говорит о жизни после сообщения диагноза</w:t>
            </w:r>
          </w:p>
        </w:tc>
      </w:tr>
      <w:tr>
        <w:trPr>
          <w:cantSplit/>
        </w:trPr>
        <w:tc>
          <w:tcPr>
            <w:tcW w:type="dxa" w:w="4032"/>
            <w:vAlign w:val="center"/>
          </w:tcPr>
          <w:p>
            <w:pPr>
              <w:pStyle w:val="TableBody"/>
              <w:keepNext w:val="0"/>
            </w:pPr>
            <w:r>
              <w:t>Утверждение обо всём будущем</w:t>
            </w:r>
          </w:p>
        </w:tc>
        <w:tc>
          <w:tcPr>
            <w:tcW w:type="dxa" w:w="5472"/>
            <w:vAlign w:val="center"/>
          </w:tcPr>
          <w:p>
            <w:pPr>
              <w:pStyle w:val="TableBody"/>
              <w:keepNext w:val="0"/>
            </w:pPr>
            <w:r>
              <w:t>Добавление «всё уже решено», которого нет в названии</w:t>
            </w:r>
          </w:p>
        </w:tc>
      </w:tr>
    </w:tbl>
    <w:p>
      <w:pPr>
        <w:spacing w:after="40" w:before="0" w:line="240" w:lineRule="auto"/>
      </w:pPr>
      <w:r>
        <w:rPr>
          <w:sz w:val="4"/>
        </w:rPr>
      </w:r>
    </w:p>
    <w:p>
      <w:pPr/>
      <w:r>
        <w:t>Одинаковое написание предъявляет одинаковую последовательность букв. Фразы «они прочитали одинаково» и «они прочитали по-разному» — отдельные утверждения; для конкретного сравнения нужны ответы этих людей или другие относящиеся к сравнению материалы.</w:t>
      </w:r>
    </w:p>
    <w:p>
      <w:pPr/>
      <w:r>
        <w:t>«Нужно уточнить стадию», «нужно обсудить варианты» и «это конец всей моей жизни» — составленные продолжения. Они добавляют разное содержание. Последнюю фразу нельзя приписать человеку только из-за тяжести темы. Если такая фраза действительно записана, нужно сохранить её контекст и оговорки; объяснение исследователя не становится переживанием автора сообщения.</w:t>
      </w:r>
    </w:p>
    <w:p>
      <w:pPr/>
      <w:r>
        <w:t>Записанное объяснение врача, ответ человека и последующее утверждение «пациент понял» также предъявляются отдельно. Фраза «пациент понял» не воспроизводит объяснение врача и ответ человека и не показывает, на чём основан этот вывод. Для утверждения о понимании нужен относящийся к нему материал.</w:t>
      </w:r>
    </w:p>
    <w:p>
      <w:pPr>
        <w:pStyle w:val="Heading1"/>
      </w:pPr>
      <w:bookmarkStart w:id="19" w:name="section_13"/>
      <w:r>
        <w:t>13 Все виды записей на пути диагностики и лечения</w:t>
      </w:r>
      <w:bookmarkEnd w:id="19"/>
    </w:p>
    <w:p>
      <w:pPr/>
      <w:r>
        <w:t>«Все записи» здесь охватывает виды записей от жалобы и маркировки образца до контроля лечения и последующего рассказа о нём. Ни один вид не исключён заранее. Это не означает, что для исследования прочитаны все медицинские документы.</w:t>
      </w:r>
    </w:p>
    <w:p>
      <w:pPr/>
      <w:r>
        <w:t>Таблица показывает возможные формы записи. Она не задаёт обязательный маршрут для каждого заболевания: этапы могут повторяться, идти параллельно или отсутствовать. Чтобы разобрать конкретный случай, нужны сами документы и данные, а не только названия строк.</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3096"/>
        <w:gridCol w:w="6408"/>
      </w:tblGrid>
      <w:tr>
        <w:trPr>
          <w:cantSplit/>
          <w:tblHeader/>
        </w:trPr>
        <w:tc>
          <w:tcPr>
            <w:tcW w:type="dxa" w:w="3096"/>
            <w:vAlign w:val="center"/>
            <w:shd w:fill="EDEDED"/>
          </w:tcPr>
          <w:p>
            <w:pPr>
              <w:pStyle w:val="TableHeader"/>
              <w:keepNext/>
            </w:pPr>
            <w:r>
              <w:rPr>
                <w:sz w:val="19"/>
              </w:rPr>
              <w:t>Форма</w:t>
            </w:r>
          </w:p>
        </w:tc>
        <w:tc>
          <w:tcPr>
            <w:tcW w:type="dxa" w:w="6408"/>
            <w:vAlign w:val="center"/>
            <w:shd w:fill="EDEDED"/>
          </w:tcPr>
          <w:p>
            <w:pPr>
              <w:pStyle w:val="TableHeader"/>
              <w:keepNext/>
            </w:pPr>
            <w:r>
              <w:rPr>
                <w:sz w:val="19"/>
              </w:rPr>
              <w:t>Что нужно различить при дальнейшем использовании</w:t>
            </w:r>
          </w:p>
        </w:tc>
      </w:tr>
      <w:tr>
        <w:trPr>
          <w:cantSplit/>
        </w:trPr>
        <w:tc>
          <w:tcPr>
            <w:tcW w:type="dxa" w:w="3096"/>
            <w:vAlign w:val="center"/>
          </w:tcPr>
          <w:p>
            <w:pPr>
              <w:pStyle w:val="TableBody"/>
              <w:keepNext w:val="0"/>
            </w:pPr>
            <w:r>
              <w:rPr>
                <w:sz w:val="19"/>
              </w:rPr>
              <w:t>Жалоба и запись разговора</w:t>
            </w:r>
          </w:p>
        </w:tc>
        <w:tc>
          <w:tcPr>
            <w:tcW w:type="dxa" w:w="6408"/>
            <w:vAlign w:val="center"/>
          </w:tcPr>
          <w:p>
            <w:pPr>
              <w:pStyle w:val="TableBody"/>
              <w:keepNext w:val="0"/>
            </w:pPr>
            <w:r>
              <w:rPr>
                <w:sz w:val="19"/>
              </w:rPr>
              <w:t>Слова человека, запись со слов и последующее объяснение</w:t>
            </w:r>
          </w:p>
        </w:tc>
      </w:tr>
      <w:tr>
        <w:trPr>
          <w:cantSplit/>
        </w:trPr>
        <w:tc>
          <w:tcPr>
            <w:tcW w:type="dxa" w:w="3096"/>
            <w:vAlign w:val="center"/>
          </w:tcPr>
          <w:p>
            <w:pPr>
              <w:pStyle w:val="TableBody"/>
              <w:keepNext w:val="0"/>
            </w:pPr>
            <w:r>
              <w:rPr>
                <w:sz w:val="19"/>
              </w:rPr>
              <w:t>Направление и идентификаторы</w:t>
            </w:r>
          </w:p>
        </w:tc>
        <w:tc>
          <w:tcPr>
            <w:tcW w:type="dxa" w:w="6408"/>
            <w:vAlign w:val="center"/>
          </w:tcPr>
          <w:p>
            <w:pPr>
              <w:pStyle w:val="TableBody"/>
              <w:keepNext w:val="0"/>
            </w:pPr>
            <w:r>
              <w:rPr>
                <w:sz w:val="19"/>
              </w:rPr>
              <w:t>Запрос, его адресат и основания привязки к нему</w:t>
            </w:r>
          </w:p>
        </w:tc>
      </w:tr>
      <w:tr>
        <w:trPr>
          <w:cantSplit/>
        </w:trPr>
        <w:tc>
          <w:tcPr>
            <w:tcW w:type="dxa" w:w="3096"/>
            <w:vAlign w:val="center"/>
          </w:tcPr>
          <w:p>
            <w:pPr>
              <w:pStyle w:val="TableBody"/>
              <w:keepNext w:val="0"/>
            </w:pPr>
            <w:r>
              <w:rPr>
                <w:sz w:val="19"/>
              </w:rPr>
              <w:t>Маркировка образца</w:t>
            </w:r>
          </w:p>
        </w:tc>
        <w:tc>
          <w:tcPr>
            <w:tcW w:type="dxa" w:w="6408"/>
            <w:vAlign w:val="center"/>
          </w:tcPr>
          <w:p>
            <w:pPr>
              <w:pStyle w:val="TableBody"/>
              <w:keepNext w:val="0"/>
            </w:pPr>
            <w:r>
              <w:rPr>
                <w:sz w:val="19"/>
              </w:rPr>
              <w:t>Надпись, журнал перемещения и отнесение к человеку</w:t>
            </w:r>
          </w:p>
        </w:tc>
      </w:tr>
      <w:tr>
        <w:trPr>
          <w:cantSplit/>
        </w:trPr>
        <w:tc>
          <w:tcPr>
            <w:tcW w:type="dxa" w:w="3096"/>
            <w:vAlign w:val="center"/>
          </w:tcPr>
          <w:p>
            <w:pPr>
              <w:pStyle w:val="TableBody"/>
              <w:keepNext w:val="0"/>
            </w:pPr>
            <w:r>
              <w:rPr>
                <w:sz w:val="19"/>
              </w:rPr>
              <w:t>Аппаратные данные</w:t>
            </w:r>
          </w:p>
        </w:tc>
        <w:tc>
          <w:tcPr>
            <w:tcW w:type="dxa" w:w="6408"/>
            <w:vAlign w:val="center"/>
          </w:tcPr>
          <w:p>
            <w:pPr>
              <w:pStyle w:val="TableBody"/>
              <w:keepNext w:val="0"/>
            </w:pPr>
            <w:r>
              <w:rPr>
                <w:sz w:val="19"/>
              </w:rPr>
              <w:t>Записанные данные и описание способа их получения</w:t>
            </w:r>
          </w:p>
        </w:tc>
      </w:tr>
      <w:tr>
        <w:trPr>
          <w:cantSplit/>
        </w:trPr>
        <w:tc>
          <w:tcPr>
            <w:tcW w:type="dxa" w:w="3096"/>
            <w:vAlign w:val="center"/>
          </w:tcPr>
          <w:p>
            <w:pPr>
              <w:pStyle w:val="TableBody"/>
              <w:keepNext w:val="0"/>
            </w:pPr>
            <w:r>
              <w:rPr>
                <w:sz w:val="19"/>
              </w:rPr>
              <w:t>Изображение и метаданные</w:t>
            </w:r>
          </w:p>
        </w:tc>
        <w:tc>
          <w:tcPr>
            <w:tcW w:type="dxa" w:w="6408"/>
            <w:vAlign w:val="center"/>
          </w:tcPr>
          <w:p>
            <w:pPr>
              <w:pStyle w:val="TableBody"/>
              <w:keepNext w:val="0"/>
            </w:pPr>
            <w:r>
              <w:rPr>
                <w:sz w:val="19"/>
              </w:rPr>
              <w:t>Пиксели, отображение, подпись, дата и выбранная область</w:t>
            </w:r>
          </w:p>
        </w:tc>
      </w:tr>
      <w:tr>
        <w:trPr>
          <w:cantSplit/>
        </w:trPr>
        <w:tc>
          <w:tcPr>
            <w:tcW w:type="dxa" w:w="3096"/>
            <w:vAlign w:val="center"/>
          </w:tcPr>
          <w:p>
            <w:pPr>
              <w:pStyle w:val="TableBody"/>
              <w:keepNext w:val="0"/>
            </w:pPr>
            <w:r>
              <w:rPr>
                <w:sz w:val="19"/>
              </w:rPr>
              <w:t>Измерение</w:t>
            </w:r>
          </w:p>
        </w:tc>
        <w:tc>
          <w:tcPr>
            <w:tcW w:type="dxa" w:w="6408"/>
            <w:vAlign w:val="center"/>
          </w:tcPr>
          <w:p>
            <w:pPr>
              <w:pStyle w:val="TableBody"/>
              <w:keepNext w:val="0"/>
            </w:pPr>
            <w:r>
              <w:rPr>
                <w:sz w:val="19"/>
              </w:rPr>
              <w:t>Значение, единица, метод, время и область применимости</w:t>
            </w:r>
          </w:p>
        </w:tc>
      </w:tr>
      <w:tr>
        <w:trPr>
          <w:cantSplit/>
        </w:trPr>
        <w:tc>
          <w:tcPr>
            <w:tcW w:type="dxa" w:w="3096"/>
            <w:vAlign w:val="center"/>
          </w:tcPr>
          <w:p>
            <w:pPr>
              <w:pStyle w:val="TableBody"/>
              <w:keepNext w:val="0"/>
            </w:pPr>
            <w:r>
              <w:rPr>
                <w:sz w:val="19"/>
              </w:rPr>
              <w:t>Флаг или результат алгоритма</w:t>
            </w:r>
          </w:p>
        </w:tc>
        <w:tc>
          <w:tcPr>
            <w:tcW w:type="dxa" w:w="6408"/>
            <w:vAlign w:val="center"/>
          </w:tcPr>
          <w:p>
            <w:pPr>
              <w:pStyle w:val="TableBody"/>
              <w:keepNext w:val="0"/>
            </w:pPr>
            <w:r>
              <w:rPr>
                <w:sz w:val="19"/>
              </w:rPr>
              <w:t>Выходная категория, порог и условия применения</w:t>
            </w:r>
          </w:p>
        </w:tc>
      </w:tr>
      <w:tr>
        <w:trPr>
          <w:cantSplit/>
        </w:trPr>
        <w:tc>
          <w:tcPr>
            <w:tcW w:type="dxa" w:w="3096"/>
            <w:vAlign w:val="center"/>
          </w:tcPr>
          <w:p>
            <w:pPr>
              <w:pStyle w:val="TableBody"/>
              <w:keepNext w:val="0"/>
            </w:pPr>
            <w:r>
              <w:rPr>
                <w:sz w:val="19"/>
              </w:rPr>
              <w:t>Описание и заключение</w:t>
            </w:r>
          </w:p>
        </w:tc>
        <w:tc>
          <w:tcPr>
            <w:tcW w:type="dxa" w:w="6408"/>
            <w:vAlign w:val="center"/>
          </w:tcPr>
          <w:p>
            <w:pPr>
              <w:pStyle w:val="TableBody"/>
              <w:keepNext w:val="0"/>
            </w:pPr>
            <w:r>
              <w:rPr>
                <w:sz w:val="19"/>
              </w:rPr>
              <w:t>Что описано как наблюдение, как это истолковано и какие есть ограничения</w:t>
            </w:r>
          </w:p>
        </w:tc>
      </w:tr>
      <w:tr>
        <w:trPr>
          <w:cantSplit/>
        </w:trPr>
        <w:tc>
          <w:tcPr>
            <w:tcW w:type="dxa" w:w="3096"/>
            <w:vAlign w:val="center"/>
          </w:tcPr>
          <w:p>
            <w:pPr>
              <w:pStyle w:val="TableBody"/>
              <w:keepNext w:val="0"/>
            </w:pPr>
            <w:r>
              <w:rPr>
                <w:sz w:val="19"/>
              </w:rPr>
              <w:t>Диагноз и код</w:t>
            </w:r>
          </w:p>
        </w:tc>
        <w:tc>
          <w:tcPr>
            <w:tcW w:type="dxa" w:w="6408"/>
            <w:vAlign w:val="center"/>
          </w:tcPr>
          <w:p>
            <w:pPr>
              <w:pStyle w:val="TableBody"/>
              <w:keepNext w:val="0"/>
            </w:pPr>
            <w:r>
              <w:rPr>
                <w:sz w:val="19"/>
              </w:rPr>
              <w:t>Название категории, версия классификации и статус записи</w:t>
            </w:r>
          </w:p>
        </w:tc>
      </w:tr>
      <w:tr>
        <w:trPr>
          <w:cantSplit/>
        </w:trPr>
        <w:tc>
          <w:tcPr>
            <w:tcW w:type="dxa" w:w="3096"/>
            <w:vAlign w:val="center"/>
          </w:tcPr>
          <w:p>
            <w:pPr>
              <w:pStyle w:val="TableBody"/>
              <w:keepNext w:val="0"/>
            </w:pPr>
            <w:r>
              <w:rPr>
                <w:sz w:val="19"/>
              </w:rPr>
              <w:t>Прогноз</w:t>
            </w:r>
          </w:p>
        </w:tc>
        <w:tc>
          <w:tcPr>
            <w:tcW w:type="dxa" w:w="6408"/>
            <w:vAlign w:val="center"/>
          </w:tcPr>
          <w:p>
            <w:pPr>
              <w:pStyle w:val="TableBody"/>
              <w:keepNext w:val="0"/>
            </w:pPr>
            <w:r>
              <w:rPr>
                <w:sz w:val="19"/>
              </w:rPr>
              <w:t>Оценка для указанной группы или случая и утверждение о будущем человека</w:t>
            </w:r>
          </w:p>
        </w:tc>
      </w:tr>
      <w:tr>
        <w:trPr>
          <w:cantSplit/>
        </w:trPr>
        <w:tc>
          <w:tcPr>
            <w:tcW w:type="dxa" w:w="3096"/>
            <w:vAlign w:val="center"/>
          </w:tcPr>
          <w:p>
            <w:pPr>
              <w:pStyle w:val="TableBody"/>
              <w:keepNext w:val="0"/>
            </w:pPr>
            <w:r>
              <w:rPr>
                <w:sz w:val="19"/>
              </w:rPr>
              <w:t>Решение и согласие</w:t>
            </w:r>
          </w:p>
        </w:tc>
        <w:tc>
          <w:tcPr>
            <w:tcW w:type="dxa" w:w="6408"/>
            <w:vAlign w:val="center"/>
          </w:tcPr>
          <w:p>
            <w:pPr>
              <w:pStyle w:val="TableBody"/>
              <w:keepNext w:val="0"/>
            </w:pPr>
            <w:r>
              <w:rPr>
                <w:sz w:val="19"/>
              </w:rPr>
              <w:t>Предложение, выбор, назначение и запись согласия</w:t>
            </w:r>
          </w:p>
        </w:tc>
      </w:tr>
      <w:tr>
        <w:trPr>
          <w:cantSplit/>
        </w:trPr>
        <w:tc>
          <w:tcPr>
            <w:tcW w:type="dxa" w:w="3096"/>
            <w:vAlign w:val="center"/>
          </w:tcPr>
          <w:p>
            <w:pPr>
              <w:pStyle w:val="TableBody"/>
              <w:keepNext w:val="0"/>
            </w:pPr>
            <w:r>
              <w:rPr>
                <w:sz w:val="19"/>
              </w:rPr>
              <w:t>План лечения</w:t>
            </w:r>
          </w:p>
        </w:tc>
        <w:tc>
          <w:tcPr>
            <w:tcW w:type="dxa" w:w="6408"/>
            <w:vAlign w:val="center"/>
          </w:tcPr>
          <w:p>
            <w:pPr>
              <w:pStyle w:val="TableBody"/>
              <w:keepNext w:val="0"/>
            </w:pPr>
            <w:r>
              <w:rPr>
                <w:sz w:val="19"/>
              </w:rPr>
              <w:t>Цель, параметры, расчёт и разрешение на исполнение</w:t>
            </w:r>
          </w:p>
        </w:tc>
      </w:tr>
      <w:tr>
        <w:trPr>
          <w:cantSplit/>
        </w:trPr>
        <w:tc>
          <w:tcPr>
            <w:tcW w:type="dxa" w:w="3096"/>
            <w:vAlign w:val="center"/>
          </w:tcPr>
          <w:p>
            <w:pPr>
              <w:pStyle w:val="TableBody"/>
              <w:keepNext w:val="0"/>
            </w:pPr>
            <w:r>
              <w:rPr>
                <w:sz w:val="19"/>
              </w:rPr>
              <w:t>Аппаратная команда и журнал</w:t>
            </w:r>
          </w:p>
        </w:tc>
        <w:tc>
          <w:tcPr>
            <w:tcW w:type="dxa" w:w="6408"/>
            <w:vAlign w:val="center"/>
          </w:tcPr>
          <w:p>
            <w:pPr>
              <w:pStyle w:val="TableBody"/>
              <w:keepNext w:val="0"/>
            </w:pPr>
            <w:r>
              <w:rPr>
                <w:sz w:val="19"/>
              </w:rPr>
              <w:t>Что задано, что записано как выполненное и как описано воздействие</w:t>
            </w:r>
          </w:p>
        </w:tc>
      </w:tr>
      <w:tr>
        <w:trPr>
          <w:cantSplit/>
        </w:trPr>
        <w:tc>
          <w:tcPr>
            <w:tcW w:type="dxa" w:w="3096"/>
            <w:vAlign w:val="center"/>
          </w:tcPr>
          <w:p>
            <w:pPr>
              <w:pStyle w:val="TableBody"/>
              <w:keepNext w:val="0"/>
            </w:pPr>
            <w:r>
              <w:rPr>
                <w:sz w:val="19"/>
              </w:rPr>
              <w:t>Контрольное заключение</w:t>
            </w:r>
          </w:p>
        </w:tc>
        <w:tc>
          <w:tcPr>
            <w:tcW w:type="dxa" w:w="6408"/>
            <w:vAlign w:val="center"/>
          </w:tcPr>
          <w:p>
            <w:pPr>
              <w:pStyle w:val="TableBody"/>
              <w:keepNext w:val="0"/>
            </w:pPr>
            <w:r>
              <w:rPr>
                <w:sz w:val="19"/>
              </w:rPr>
              <w:t>Новая запись, сравнение с прежней и условия сопоставления</w:t>
            </w:r>
          </w:p>
        </w:tc>
      </w:tr>
      <w:tr>
        <w:trPr>
          <w:cantSplit/>
        </w:trPr>
        <w:tc>
          <w:tcPr>
            <w:tcW w:type="dxa" w:w="3096"/>
            <w:vAlign w:val="center"/>
          </w:tcPr>
          <w:p>
            <w:pPr>
              <w:pStyle w:val="TableBody"/>
              <w:keepNext w:val="0"/>
            </w:pPr>
            <w:r>
              <w:rPr>
                <w:sz w:val="19"/>
              </w:rPr>
              <w:t>Выписка и административное использование</w:t>
            </w:r>
          </w:p>
        </w:tc>
        <w:tc>
          <w:tcPr>
            <w:tcW w:type="dxa" w:w="6408"/>
            <w:vAlign w:val="center"/>
          </w:tcPr>
          <w:p>
            <w:pPr>
              <w:pStyle w:val="TableBody"/>
              <w:keepNext w:val="0"/>
            </w:pPr>
            <w:r>
              <w:rPr>
                <w:sz w:val="19"/>
              </w:rPr>
              <w:t>Медицинская формулировка, правило её использования и конкретное решение</w:t>
            </w:r>
          </w:p>
        </w:tc>
      </w:tr>
      <w:tr>
        <w:trPr>
          <w:cantSplit/>
        </w:trPr>
        <w:tc>
          <w:tcPr>
            <w:tcW w:type="dxa" w:w="3096"/>
            <w:vAlign w:val="center"/>
          </w:tcPr>
          <w:p>
            <w:pPr>
              <w:pStyle w:val="TableBody"/>
              <w:keepNext w:val="0"/>
            </w:pPr>
            <w:r>
              <w:rPr>
                <w:sz w:val="19"/>
              </w:rPr>
              <w:t>Сообщение о себе</w:t>
            </w:r>
          </w:p>
        </w:tc>
        <w:tc>
          <w:tcPr>
            <w:tcW w:type="dxa" w:w="6408"/>
            <w:vAlign w:val="center"/>
          </w:tcPr>
          <w:p>
            <w:pPr>
              <w:pStyle w:val="TableBody"/>
              <w:keepNext w:val="0"/>
            </w:pPr>
            <w:r>
              <w:rPr>
                <w:sz w:val="19"/>
              </w:rPr>
              <w:t>Диагностическое название, то, что человек говорит дальше, и приписанное ему переживание</w:t>
            </w:r>
          </w:p>
        </w:tc>
      </w:tr>
    </w:tbl>
    <w:p>
      <w:pPr>
        <w:spacing w:after="40" w:before="0" w:line="240" w:lineRule="auto"/>
      </w:pPr>
      <w:r>
        <w:rPr>
          <w:sz w:val="4"/>
        </w:rPr>
      </w:r>
    </w:p>
    <w:p>
      <w:pPr/>
      <w:r>
        <w:t>Новые виды данных расширяют эту карту, но не дают словам исключения. «Нейросеть», «геном», «физика», «электронная подпись» и «независимая проверка» остаются написанными названиями. Соответствующие файлы и процедуры могут добавить существенные сведения. Одного упоминания недостаточно, чтобы считать эти сведения полученными.</w:t>
      </w:r>
    </w:p>
    <w:p>
      <w:pPr>
        <w:pStyle w:val="Heading1"/>
      </w:pPr>
      <w:bookmarkStart w:id="20" w:name="section_14"/>
      <w:r>
        <w:t>14 Словесное описание аппарата и его работа</w:t>
      </w:r>
      <w:bookmarkEnd w:id="20"/>
    </w:p>
    <w:p>
      <w:pPr/>
      <w:r>
        <w:t>Чтобы словами описать изображение, объяснить результат анализа или выбор лечения, нужны слова. Это относится к статье, объяснению врача, инструкции производителя и этому исследованию. Термины, формулы и ссылки могут сделать описание точнее, но не превращают его в то, что оно описывает.</w:t>
      </w:r>
    </w:p>
    <w:p>
      <w:pPr/>
      <w:r>
        <w:t xml:space="preserve">При этом аппарату не требуется предложение на естественном языке для каждого этапа обработки. DICOM различает пиксельные данные, числа, коды, ссылки на изображения и координаты. Программа может преобразовывать данные; словесное объяснение описывает это преобразование отдельно. </w:t>
      </w:r>
      <w:r>
        <w:t>[</w:t>
      </w:r>
      <w:hyperlink w:anchor="source_3">
        <w:r>
          <w:rPr>
            <w:color w:val="000000"/>
          </w:rPr>
          <w:t xml:space="preserve">3</w:t>
        </w:r>
      </w:hyperlink>
      <w:r>
        <w:t>–</w:t>
      </w:r>
      <w:hyperlink w:anchor="source_5">
        <w:r>
          <w:rPr>
            <w:color w:val="000000"/>
          </w:rPr>
          <w:t xml:space="preserve">5</w:t>
        </w:r>
      </w:hyperlink>
      <w:r>
        <w:t>]</w:t>
      </w:r>
    </w:p>
    <w:p>
      <w:pPr/>
      <w:r>
        <w:t xml:space="preserve">В размещённых FDA материалах Seg Pro V3 производитель описывает автоматическое построение контуров органов риска по переданным DICOM-изображениям. Для просмотра и редактирования нужна совместимая система планирования. Устройство не предназначено для обнаружения очагов или самостоятельных клинических решений; первичная интерпретация его результатов требует рассмотрения специалистом. Это описание автоматического этапа, а не свидетельство автономного лечения. </w:t>
      </w:r>
      <w:r>
        <w:t>[</w:t>
      </w:r>
      <w:hyperlink w:anchor="source_10">
        <w:r>
          <w:rPr>
            <w:color w:val="000000"/>
          </w:rPr>
          <w:t xml:space="preserve">10</w:t>
        </w:r>
      </w:hyperlink>
      <w:r>
        <w:t>, Device Description; Intended Use / Indications for Use]</w:t>
      </w:r>
    </w:p>
    <w:p>
      <w:pPr/>
      <w:r>
        <w:t>Вычисление может быть выполнено без отдельного словесного комментария. Если нужно установить, как получен результат и для каких решений его используют, нужны сведения о вычислении, программе, условиях и последующем применении.</w:t>
      </w:r>
    </w:p>
    <w:p>
      <w:pPr/>
      <w:r>
        <w:t>Составленная фраза «аппарат сам увидел рак» объединяет несколько возможных утверждений: аппарат записал данные, программа их обработала, получен результат, предложено его медицинское прочтение. Документы должны позволять различить эти шаги. Слово «сам» не сообщает ни программу, ни её версию, ни область применения.</w:t>
      </w:r>
    </w:p>
    <w:p>
      <w:pPr/>
      <w:r>
        <w:t>Заявление «работает» требует сведений о результате. Письменное описание работы аппарата не становится самой работой.</w:t>
      </w:r>
    </w:p>
    <w:p>
      <w:pPr>
        <w:pStyle w:val="Heading1"/>
      </w:pPr>
      <w:bookmarkStart w:id="21" w:name="section_15"/>
      <w:r>
        <w:t>15 Изображение и его словесное описание</w:t>
      </w:r>
      <w:bookmarkEnd w:id="21"/>
    </w:p>
    <w:p>
      <w:pPr/>
      <w:r>
        <w:t xml:space="preserve">Медицинское изображение не состоит из букв предложения. DICOM описывает пиксельные данные как поток отсчётов, а их представление — отдельными атрибутами. В двух предусмотренных монохромных режимах минимальное значение после соответствующих преобразований отображается белым либо чёрным. Значение отсчёта и правило отображения различаются; из этого не следует, что изображение произвольно. </w:t>
      </w:r>
      <w:r>
        <w:t>[</w:t>
      </w:r>
      <w:hyperlink w:anchor="source_3">
        <w:r>
          <w:rPr>
            <w:color w:val="000000"/>
          </w:rPr>
          <w:t xml:space="preserve">3</w:t>
        </w:r>
      </w:hyperlink>
      <w:r>
        <w:t>, C.7.6.3.1]</w:t>
      </w:r>
    </w:p>
    <w:p>
      <w:pPr/>
      <w:r>
        <w:t>На изображении могут выделить область, выполнить измерение или добавить подпись. Слова «очаг», «контур» и «размер» в объяснении не становятся этой областью. Показанный контур добавляет графику. Подпись «опухоль» требует объяснить, почему отмеченную область читают именно так.</w:t>
      </w:r>
    </w:p>
    <w:p>
      <w:pPr>
        <w:keepNext/>
      </w:pPr>
      <w:r>
        <w:t>Составленный пример:</w:t>
      </w:r>
    </w:p>
    <w:p>
      <w:pPr>
        <w:keepNext/>
      </w:pPr>
      <w:r>
        <w:t>Описание: «Выявлено образование. Требуется уточнение характера».</w:t>
      </w:r>
    </w:p>
    <w:p>
      <w:pPr/>
      <w:r>
        <w:rPr>
          <w:b/>
        </w:rPr>
        <w:t>Пересказ:</w:t>
      </w:r>
      <w:r>
        <w:t xml:space="preserve"> «На снимке уже доказан рак».</w:t>
      </w:r>
    </w:p>
    <w:p>
      <w:pPr/>
      <w:r>
        <w:t>Пересказ добавил «доказан» и «рак», убрав необходимость уточнения. Здесь можно точно указать, как изменилось утверждение. Эти две строки не решают, какой диагноз впоследствии подтвердят другие исследования. Новое заключение нужно рассмотреть на его собственных основаниях; оно не изменит того, что было написано в первой версии.</w:t>
      </w:r>
    </w:p>
    <w:p>
      <w:pPr/>
      <w:r>
        <w:t>Обратный составленный пример: «на данном изображении признаков не выявлено» превращается в «никакого заболевания нигде нет». Пересказ утратил границы изображения, критерий чтения и условия обнаружения. Само повторение отрицательной формулировки не даёт более широкого вывода.</w:t>
      </w:r>
    </w:p>
    <w:p>
      <w:pPr/>
      <w:r>
        <w:t>Когда к разбору добавляют изображение, нужно рассмотреть его отображение, отмеченную область и комментарий. Фраза «изображение показано» не заменяет самого показа.</w:t>
      </w:r>
    </w:p>
    <w:p>
      <w:pPr>
        <w:pStyle w:val="Heading1"/>
      </w:pPr>
      <w:bookmarkStart w:id="22" w:name="section_16"/>
      <w:r>
        <w:t>16 Числовой результат и диагностическое чтение</w:t>
      </w:r>
      <w:bookmarkEnd w:id="22"/>
    </w:p>
    <w:p>
      <w:pPr/>
      <w:r>
        <w:t xml:space="preserve">Число может выглядеть определённее словесного пояснения. Но без названия показателя, единицы, времени и условий сравнения оно не даёт полного диагностического утверждения. В FHIR Observation отдельно предусмотрены значение, время, образец, метод, устройство, интерпретация и референсный диапазон. Формат различает результат и клинический диагноз, допуская связь между ними. Не каждый предусмотренный элемент обязателен в каждой реализации. </w:t>
      </w:r>
      <w:r>
        <w:t>[</w:t>
      </w:r>
      <w:hyperlink w:anchor="source_6">
        <w:r>
          <w:rPr>
            <w:color w:val="000000"/>
          </w:rPr>
          <w:t xml:space="preserve">6</w:t>
        </w:r>
      </w:hyperlink>
      <w:r>
        <w:t>, §§ 10.1.1–10.1.4]</w:t>
      </w:r>
    </w:p>
    <w:p>
      <w:pPr/>
      <w:r>
        <w:t xml:space="preserve">В описании диагностики NCI лабораторные отклонения сами по себе не устанавливают рак: их сопоставляют с другими сведениями и исследованиями. Это не делает отклонения незначимыми и не решает вопрос об отдельном анализе без его контекста. </w:t>
      </w:r>
      <w:r>
        <w:t>[</w:t>
      </w:r>
      <w:hyperlink w:anchor="source_1">
        <w:r>
          <w:rPr>
            <w:color w:val="000000"/>
          </w:rPr>
          <w:t xml:space="preserve">1</w:t>
        </w:r>
      </w:hyperlink>
      <w:r>
        <w:t>, раздел Lab tests used to diagnose cancer]</w:t>
      </w:r>
    </w:p>
    <w:p>
      <w:pPr/>
      <w:r>
        <w:t xml:space="preserve">Отсутствующее значение, ноль и отрицательный результат нужно различать. DICOM допускает пустую последовательность значения измерения с указанием причины: значение неизвестно, отсутствует либо произошёл сбой измерения или расчёта. Пустую запись нельзя молча читать как «измерено и равно нулю». </w:t>
      </w:r>
      <w:r>
        <w:t>[</w:t>
      </w:r>
      <w:hyperlink w:anchor="source_5">
        <w:r>
          <w:rPr>
            <w:color w:val="000000"/>
          </w:rPr>
          <w:t xml:space="preserve">5</w:t>
        </w:r>
      </w:hyperlink>
      <w:r>
        <w:t>, C.18.1]</w:t>
      </w:r>
      <w:r>
        <w:t xml:space="preserve"> Это различие записей, а не диагноз конкретного пациента.</w:t>
      </w:r>
    </w:p>
    <w:p>
      <w:pPr/>
      <w:r>
        <w:t>В составленной паре «результат в референсном диапазоне» и «человек полностью здоров» меняется масштаб утверждения. Во второй фразе результат отдельного анализа превращён в вывод о здоровье человека в целом. Для такого вывода нужны основания, которых первая строка сама по себе не даёт.</w:t>
      </w:r>
    </w:p>
    <w:p>
      <w:pPr/>
      <w:r>
        <w:t>Корректная запись результата не становится измерением или тем, что измеряли; обозначение единицы не становится измеряемой величиной. Сведения о калибровке и контроле качества могут помочь оценить результат. Их тоже нужно проверить: слова «точность» и «контроль» не подтверждают себя сами.</w:t>
      </w:r>
    </w:p>
    <w:p>
      <w:pPr>
        <w:pStyle w:val="Heading1"/>
      </w:pPr>
      <w:bookmarkStart w:id="23" w:name="section_17"/>
      <w:r>
        <w:t>17 Привязка образца и заключения к человеку</w:t>
      </w:r>
      <w:bookmarkEnd w:id="23"/>
    </w:p>
    <w:p>
      <w:pPr/>
      <w:r>
        <w:t xml:space="preserve">NCI описывает в патологоанатомическом заключении сведения о пациенте и образце, макроскопическое и микроскопическое описание, диагноз и комментарии. В комментариях могут быть указаны незавершённые исследования и диагностические варианты. Заключение используют при планировании дальнейших действий. Это описание документа, а не показ конкретного образца. </w:t>
      </w:r>
      <w:r>
        <w:t>[</w:t>
      </w:r>
      <w:hyperlink w:anchor="source_2">
        <w:r>
          <w:rPr>
            <w:color w:val="000000"/>
          </w:rPr>
          <w:t xml:space="preserve">2</w:t>
        </w:r>
      </w:hyperlink>
      <w:r>
        <w:t>]</w:t>
      </w:r>
    </w:p>
    <w:p>
      <w:pPr/>
      <w:r>
        <w:t>Имя помогает связать документ с человеком в рамках принятой процедуры. Чтобы проверить принадлежность результата, нужны идентификаторы, маркировка, даты и записи о происхождении материала. Эти сведения могут обосновывать связь. Ни совпадение имён, ни объяснение привязки не превращают документ в человека.</w:t>
      </w:r>
    </w:p>
    <w:p>
      <w:pPr/>
      <w:r>
        <w:t>Слова «образец» и «клетки» тоже остаются словами. Препарат или изображение дают дополнительный материал для исследования. Фраза «образец исследован» сообщает о работе, но не выполняет её: прошедшее время глагола не устраняет этого различия.</w:t>
      </w:r>
    </w:p>
    <w:p>
      <w:pPr/>
      <w:r>
        <w:t>По исследованному материалу может быть поставлен обоснованный диагноз. Требование найти внутри образца полное предложение диагноза ничего не опровергает. Однако фраза «это в образце» не заменяет классификационных признаков, условий исследования и границ вывода. При дальнейшем использовании заключения важно указывать, какой материал исследован и на какой вопрос оно отвечает.</w:t>
      </w:r>
    </w:p>
    <w:p>
      <w:pPr/>
      <w:r>
        <w:t>Отдельный переход происходит, когда вывод о материале читают как полное описание личности. Микроскопическое описание и название диагноза не содержат отношений человека, его планов и всех последующих событий. Если следующий текст говорит об этом, он добавляет новые утверждения. Они не находились внутри диагностического слова.</w:t>
      </w:r>
    </w:p>
    <w:p>
      <w:pPr>
        <w:pStyle w:val="Heading1"/>
      </w:pPr>
      <w:bookmarkStart w:id="24" w:name="section_18"/>
      <w:r>
        <w:t>18 Как запись участвует в последствиях</w:t>
      </w:r>
      <w:bookmarkEnd w:id="24"/>
    </w:p>
    <w:p>
      <w:pPr/>
      <w:r>
        <w:t>Чтобы показать, как буквы влияют на жизнь, нужно проследить решения и действия между записью и последствием. Диагноз может участвовать в выборе следующего шага; назначение — поступить в систему исполнения; результат — стать основанием нового решения. Фраза «слово изменило жизнь» не показывает, какие именно связи сработали в конкретном случае.</w:t>
      </w:r>
    </w:p>
    <w:p>
      <w:pPr/>
      <w:r>
        <w:t>FHIR ServiceRequest различает предложение, план и назначение услуги. Запрос может связываться с последующими результатами и документами о процедуре. Стандарт отдельно описывает намерение, запрос и связи с последующими результатами; для фразы о выполненной процедуре в конкретной истории нужна соответствующая запись этой истории. [8, Scope and Usage; элемент intent]</w:t>
      </w:r>
    </w:p>
    <w:p>
      <w:pPr/>
      <w:r>
        <w:t>Составленный пример: заключение указывает категорию; отдельное решение учитывает диагноз, дополнительные условия и выбранную процедуру; назначение задаёт параметры; журнал сообщает о выполнении; новое заключение описывает состояние после процедуры. Каждая запись что-то добавляет. Запись не становится действием, о котором сообщает.</w:t>
      </w:r>
    </w:p>
    <w:p>
      <w:pPr/>
      <w:r>
        <w:t>Так можно исследовать влияние записи, не приписывая буквам самостоятельной физиологической силы. Нужно выяснить, кто прочитал или какая система обработала запись, по какому правилу принято решение, какие настройки применены и что сделано. Сама эта схема и слова «правило», «решение», «действие» не заменяют документов о событии и оснований связи между ними.</w:t>
      </w:r>
    </w:p>
    <w:p>
      <w:pPr/>
      <w:r>
        <w:t>Тот же подход нужен при административном использовании. Код диагноза, правило оплаты, решение об ограничении и сообщение о его применении — разные звенья. Здесь не устанавливаются правила конкретного государства или страховщика. Повтор диагноза не показывает применимое правило и не даёт полномочий действовать.</w:t>
      </w:r>
    </w:p>
    <w:p>
      <w:pPr/>
      <w:r>
        <w:t>Дополнительные документы могут убедительно показать последствия использования записи. Запись при этом не становится заболеванием или человеком.</w:t>
      </w:r>
    </w:p>
    <w:p>
      <w:pPr>
        <w:pStyle w:val="Heading1"/>
      </w:pPr>
      <w:bookmarkStart w:id="25" w:name="section_19"/>
      <w:r>
        <w:t>19 План лечения и запись о сеансе</w:t>
      </w:r>
      <w:bookmarkEnd w:id="25"/>
    </w:p>
    <w:p>
      <w:pPr/>
      <w:r>
        <w:t xml:space="preserve">В модуле DICOM для записи сеанса лучевой терапии различаются заданные и записанные выполненные параметры счётчика аппарата, измеренные и расчётные дозы. Ниже — три поля и их роли. </w:t>
      </w:r>
      <w:r>
        <w:t>[</w:t>
      </w:r>
      <w:hyperlink w:anchor="source_9">
        <w:r>
          <w:rPr>
            <w:color w:val="000000"/>
          </w:rPr>
          <w:t xml:space="preserve">9</w:t>
        </w:r>
      </w:hyperlink>
      <w:r>
        <w:t>, C.8.8.21, таблица C.8-57]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4032"/>
        <w:gridCol w:w="5472"/>
      </w:tblGrid>
      <w:tr>
        <w:trPr>
          <w:cantSplit/>
          <w:tblHeader/>
        </w:trPr>
        <w:tc>
          <w:tcPr>
            <w:tcW w:type="dxa" w:w="4032"/>
            <w:vAlign w:val="center"/>
            <w:shd w:fill="EDEDED"/>
          </w:tcPr>
          <w:p>
            <w:pPr>
              <w:pStyle w:val="TableHeader"/>
              <w:keepNext/>
            </w:pPr>
            <w:r>
              <w:t>Название поля в источнике</w:t>
            </w:r>
          </w:p>
        </w:tc>
        <w:tc>
          <w:tcPr>
            <w:tcW w:type="dxa" w:w="5472"/>
            <w:vAlign w:val="center"/>
            <w:shd w:fill="EDEDED"/>
          </w:tcPr>
          <w:p>
            <w:pPr>
              <w:pStyle w:val="TableHeader"/>
              <w:keepNext/>
            </w:pPr>
            <w:r>
              <w:t>Роль в описании формата</w:t>
            </w:r>
          </w:p>
        </w:tc>
      </w:tr>
      <w:tr>
        <w:trPr>
          <w:cantSplit/>
        </w:trPr>
        <w:tc>
          <w:tcPr>
            <w:tcW w:type="dxa" w:w="4032"/>
            <w:vAlign w:val="center"/>
          </w:tcPr>
          <w:p>
            <w:pPr>
              <w:pStyle w:val="TableBody"/>
              <w:keepNext w:val="0"/>
            </w:pPr>
            <w:r>
              <w:t>Delivered Primary Meterset</w:t>
            </w:r>
          </w:p>
        </w:tc>
        <w:tc>
          <w:tcPr>
            <w:tcW w:type="dxa" w:w="5472"/>
            <w:vAlign w:val="center"/>
          </w:tcPr>
          <w:p>
            <w:pPr>
              <w:pStyle w:val="TableBody"/>
              <w:keepNext w:val="0"/>
            </w:pPr>
            <w:r>
              <w:t>Выполненное значение по записи основного счётчика</w:t>
            </w:r>
          </w:p>
        </w:tc>
      </w:tr>
      <w:tr>
        <w:trPr>
          <w:cantSplit/>
        </w:trPr>
        <w:tc>
          <w:tcPr>
            <w:tcW w:type="dxa" w:w="4032"/>
            <w:vAlign w:val="center"/>
          </w:tcPr>
          <w:p>
            <w:pPr>
              <w:pStyle w:val="TableBody"/>
              <w:keepNext w:val="0"/>
            </w:pPr>
            <w:r>
              <w:t>Measured Dose Value</w:t>
            </w:r>
          </w:p>
        </w:tc>
        <w:tc>
          <w:tcPr>
            <w:tcW w:type="dxa" w:w="5472"/>
            <w:vAlign w:val="center"/>
          </w:tcPr>
          <w:p>
            <w:pPr>
              <w:pStyle w:val="TableBody"/>
              <w:keepNext w:val="0"/>
            </w:pPr>
            <w:r>
              <w:t>Измеренное значение дозы с указанными единицами</w:t>
            </w:r>
          </w:p>
        </w:tc>
      </w:tr>
      <w:tr>
        <w:trPr>
          <w:cantSplit/>
        </w:trPr>
        <w:tc>
          <w:tcPr>
            <w:tcW w:type="dxa" w:w="4032"/>
            <w:vAlign w:val="center"/>
          </w:tcPr>
          <w:p>
            <w:pPr>
              <w:pStyle w:val="TableBody"/>
              <w:keepNext w:val="0"/>
            </w:pPr>
            <w:r>
              <w:t>Calculated Dose Reference Dose Value</w:t>
            </w:r>
          </w:p>
        </w:tc>
        <w:tc>
          <w:tcPr>
            <w:tcW w:type="dxa" w:w="5472"/>
            <w:vAlign w:val="center"/>
          </w:tcPr>
          <w:p>
            <w:pPr>
              <w:pStyle w:val="TableBody"/>
              <w:keepNext w:val="0"/>
            </w:pPr>
            <w:r>
              <w:t>Расчётное значение дозы</w:t>
            </w:r>
          </w:p>
        </w:tc>
      </w:tr>
    </w:tbl>
    <w:p>
      <w:pPr>
        <w:spacing w:after="40" w:before="0" w:line="240" w:lineRule="auto"/>
      </w:pPr>
      <w:r>
        <w:rPr>
          <w:sz w:val="4"/>
        </w:rPr>
      </w:r>
    </w:p>
    <w:p>
      <w:pPr/>
      <w:r>
        <w:t xml:space="preserve">Показание счётчика нельзя без пояснения назвать дозой, полученной человеком: стандарт отдельно описывает единицы и соотношения при заданных условиях. Перечисленные поля не обязательно присутствуют или заполнены в каждом файле. </w:t>
      </w:r>
      <w:r>
        <w:t>[</w:t>
      </w:r>
      <w:hyperlink w:anchor="source_9">
        <w:r>
          <w:rPr>
            <w:color w:val="000000"/>
          </w:rPr>
          <w:t xml:space="preserve">9</w:t>
        </w:r>
      </w:hyperlink>
      <w:r>
        <w:t>]</w:t>
      </w:r>
    </w:p>
    <w:p>
      <w:pPr/>
      <w:r>
        <w:t>Для проверки конкретного пересказа нужно сопоставить число с его источником. Если значение из плана названо выполненным, где зафиксировано выполнение? Если плановый расчёт назван измерением во время сеанса, на какое поле опирается эта фраза и почему ему приписана другая роль? Совпадающие числа могут отвечать на разные вопросы.</w:t>
      </w:r>
    </w:p>
    <w:p>
      <w:pPr/>
      <w:r>
        <w:t>Совпадение заданного и записанного значений не превращает запись в само воздействие. Журналы и материалы контроля качества могут давать сильные основания считать процедуру выполненной. Их проверка не означает, что всякое выполнение сомнительно. Она позволяет точнее определить, что именно записано как выполненное и на каких основаниях.</w:t>
      </w:r>
    </w:p>
    <w:p>
      <w:pPr/>
      <w:r>
        <w:t>В составленном примере «в журнале есть запись сеанса, следовательно, всё лечение завершено и результат достигнут» добавлены два вывода: о завершении всего лечения и о результате. Для каждого нужны отдельные основания. Запись одного сеанса не даёт их автоматически; глагол «достигнут» не завершает лечение на странице.</w:t>
      </w:r>
    </w:p>
    <w:p>
      <w:pPr>
        <w:pStyle w:val="Heading1"/>
      </w:pPr>
      <w:bookmarkStart w:id="26" w:name="section_20"/>
      <w:r>
        <w:t>20 Прогноз и будущее человека</w:t>
      </w:r>
      <w:bookmarkEnd w:id="26"/>
    </w:p>
    <w:p>
      <w:pPr/>
      <w:r>
        <w:t xml:space="preserve">NCI описывает прогноз как оценку вероятного течения с учётом ряда характеристик. Статистика больших групп не позволяет точно предсказать будущее отдельного человека. Эта неопределённость ограничивает выводы из данных, но не делает любые предсказания одинаково обоснованными. </w:t>
      </w:r>
      <w:r>
        <w:t>[</w:t>
      </w:r>
      <w:hyperlink w:anchor="source_15">
        <w:r>
          <w:rPr>
            <w:color w:val="000000"/>
          </w:rPr>
          <w:t xml:space="preserve">15</w:t>
        </w:r>
      </w:hyperlink>
      <w:r>
        <w:t>]</w:t>
      </w:r>
    </w:p>
    <w:p>
      <w:pPr/>
      <w:r>
        <w:t>Составленная фраза «для такой группы получена определённая частота исхода» и продолжение «со мной точно произойдёт именно это» говорят о разном. Во второй фразе изменились адресат, степень уверенности и охват: групповое описание превратилось в уверенность об одном человеке. Для такого перехода нужно отдельное обоснование. Само число его не даёт.</w:t>
      </w:r>
    </w:p>
    <w:p>
      <w:pPr/>
      <w:r>
        <w:t xml:space="preserve">Указанную в документе стадию нужно читать вместе с системой стадирования и временем, к которому она относится. По описанию NCI первоначальная стадия относится к моменту диагностики; последующие изменения дополняют сведения. Сохранённое обозначение не означает, что состояние осталось неизменным. </w:t>
      </w:r>
      <w:r>
        <w:t>[</w:t>
      </w:r>
      <w:hyperlink w:anchor="source_16">
        <w:r>
          <w:rPr>
            <w:color w:val="000000"/>
          </w:rPr>
          <w:t xml:space="preserve">16</w:t>
        </w:r>
      </w:hyperlink>
      <w:r>
        <w:t>]</w:t>
      </w:r>
    </w:p>
    <w:p>
      <w:pPr/>
      <w:r>
        <w:t>Фраза «будущего нет» не показывает ни будущее, ни его отсутствие. Продолжение «из этой фразы следует, как человеку следует чувствовать» добавило бы новое утверждение. Если первая фраза записана, можно рассмотреть её точные слова и то, что к ним добавили дальше. Чужое объяснение не должно подменять собственное сообщение человека.</w:t>
      </w:r>
    </w:p>
    <w:p>
      <w:pPr/>
      <w:r>
        <w:t>Название диагноза, прогноз и рассказ о жизни могут быть связаны. Связь не делает их одним и тем же: категория не содержит всех событий, вероятность не равна индивидуальному исходу, а описание человека не становится человеком.</w:t>
      </w:r>
    </w:p>
    <w:p>
      <w:pPr>
        <w:pStyle w:val="Heading1"/>
      </w:pPr>
      <w:bookmarkStart w:id="27" w:name="section_21"/>
      <w:r>
        <w:t>21 Перенос и исправление записей</w:t>
      </w:r>
      <w:bookmarkEnd w:id="27"/>
    </w:p>
    <w:p>
      <w:pPr/>
      <w:r>
        <w:t>Один диагноз может повторяться в заключении, карте, выписке и сообщении другой системы. Несколько повторов не обязательно означают несколько независимых исследований. Чтобы отличить копию от нового вывода, нужно выяснить происхождение каждого фрагмента. Копия может сохранять полезные сведения, но сама по себе не добавляет нового основания.</w:t>
      </w:r>
    </w:p>
    <w:p>
      <w:pPr/>
      <w:r>
        <w:t xml:space="preserve">FHIR DiagnosticReport предусматривает отдельные результаты, текстовые и кодированные заключения, готовую форму отчёта и статус. Предварительный, окончательный и исправленный отчёты нельзя без пояснения читать одинаково. Стандарт не гарантирует, что конкретная выгрузка сохранила все оговорки: для проверки нужны сами выгрузки. </w:t>
      </w:r>
      <w:r>
        <w:t>[</w:t>
      </w:r>
      <w:hyperlink w:anchor="source_7">
        <w:r>
          <w:rPr>
            <w:color w:val="000000"/>
          </w:rPr>
          <w:t xml:space="preserve">7</w:t>
        </w:r>
      </w:hyperlink>
      <w:r>
        <w:t>, Scope and Usage; Resource Content]</w:t>
      </w:r>
    </w:p>
    <w:p>
      <w:pPr/>
      <w:r>
        <w:t>Составленный пример: исходная запись содержит «подозрение», а перенесённый список — только название заболевания. Нужно сравнить обе записи, назначение полей и правила переноса. Возможно, поле предназначено для предположительных диагнозов, а статус хранится отдельно. Тогда он тоже должен войти в проверку. Одного слова, вырванного из этой структуры, недостаточно, чтобы объявить ошибку.</w:t>
      </w:r>
    </w:p>
    <w:p>
      <w:pPr/>
      <w:r>
        <w:t>Исправление требует различать прежнюю и новую версии. Если обе сохранены, их можно сравнить. Если прежняя недоступна, одного сообщения «исправлено» недостаточно, чтобы установить её содержание. После изменения диагноза, кода или даты остаётся вопрос: какие документы уже использовали старую версию? Слово «исправлено» не показывает, обновились ли все последующие копии. Это проверяется по записям конкретной системы.</w:t>
      </w:r>
    </w:p>
    <w:p>
      <w:pPr/>
      <w:r>
        <w:t>Ответ ИИ, пересказывающий заключение, тоже становится звеном этой цепи. Уверенный тон, те же термины и список ссылок не дают ему самостоятельного права назначать лечение. Для проверки нужны исходный документ, полный ответ, добавленные утверждения и сведения о дальнейшем использовании ответа. Название модели не заменяет ни одного из этих шагов.</w:t>
      </w:r>
    </w:p>
    <w:p>
      <w:pPr>
        <w:pStyle w:val="Heading1"/>
      </w:pPr>
      <w:bookmarkStart w:id="28" w:name="section_22"/>
      <w:r>
        <w:t>22 Как разобрать конкретное заключение</w:t>
      </w:r>
      <w:bookmarkEnd w:id="28"/>
    </w:p>
    <w:p>
      <w:pPr/>
      <w:r>
        <w:t>Разбор начинается с вопроса, изменилось ли утверждение и на каком основании. Если заранее искать подмену в каждом применении медицинской записи, ответ будет задан ещё до чтения документов. Возможен и другой результат: новый вывод обоснован, поправка не требуется.</w:t>
      </w:r>
    </w:p>
    <w:p>
      <w:pPr/>
      <w:r>
        <w:t>Контрольный пример специально составлен для этой работы. Первое заключение содержит подозрение и требование дополнительного исследования. Следующий документ указывает дату нового исследования, его результат, основание классификации и установленный диагноз. Здесь не просто исчезло слово «подозрение»: появился новый материал. Нужно рассмотреть, относится ли он к тому же случаю и достаточен ли для нового заключения. Такой вывод нельзя отвергать лишь потому, что его не было в первом документе.</w:t>
      </w:r>
    </w:p>
    <w:p>
      <w:pPr>
        <w:keepNext/>
      </w:pPr>
      <w:r>
        <w:t>Для разбора выбираются одна фраза и относящиеся к ней документы. Затем фиксируются:</w:t>
      </w:r>
    </w:p>
    <w:p>
      <w:pPr>
        <w:ind w:left="288" w:hanging="288"/>
      </w:pPr>
      <w:r>
        <w:t>1. Точное написание исходного фрагмента, источник, дата и версия.</w:t>
      </w:r>
    </w:p>
    <w:p>
      <w:pPr>
        <w:ind w:left="288" w:hanging="288"/>
      </w:pPr>
      <w:r>
        <w:t>2. Точное написание последующего утверждения и место его использования.</w:t>
      </w:r>
    </w:p>
    <w:p>
      <w:pPr>
        <w:ind w:left="288" w:hanging="288"/>
      </w:pPr>
      <w:r>
        <w:t>3. Сохранённые и опущенные отрицания, условия, степени уверенности и временные ограничения.</w:t>
      </w:r>
    </w:p>
    <w:p>
      <w:pPr>
        <w:ind w:left="288" w:hanging="288"/>
      </w:pPr>
      <w:r>
        <w:t>4. Добавленные материалы и основание их связи с тем же случаем.</w:t>
      </w:r>
    </w:p>
    <w:p>
      <w:pPr>
        <w:ind w:left="288" w:hanging="288"/>
      </w:pPr>
      <w:r>
        <w:t>5. Приписанный статус и связанное с ним решение, если они представлены.</w:t>
      </w:r>
    </w:p>
    <w:p>
      <w:pPr>
        <w:ind w:left="288" w:hanging="288"/>
      </w:pPr>
      <w:r>
        <w:t>6. Конкретная поправка либо объяснение, почему она не требуется.</w:t>
      </w:r>
    </w:p>
    <w:p>
      <w:pPr>
        <w:ind w:left="288" w:hanging="288"/>
      </w:pPr>
      <w:r>
        <w:t>7. Вопрос, на который включённых материалов недостаточно ответить.</w:t>
      </w:r>
    </w:p>
    <w:p>
      <w:pPr/>
      <w:r>
        <w:t>На этом разбор выбранного фрагмента можно завершить. Для действия не требуется бесконечная цепь пояснений; требуется обозначить, что именно позволяет утверждать рассмотренный материал. Последнее пояснение тоже остаётся записью, открытой для разбора.</w:t>
      </w:r>
    </w:p>
    <w:p>
      <w:pPr/>
      <w:r>
        <w:t>Сам критерий, его применимость и способ проверки также можно оспорить. Слова «достаточно», «соответствует» и «ошибка» не закрывают этот вопрос. Возражение разбирается по содержанию, а не отклоняется фразой «это тоже слова».</w:t>
      </w:r>
    </w:p>
    <w:p>
      <w:pPr/>
      <w:r>
        <w:t>Этот порядок помогает выяснить, к какому материалу относится заключение, на чём основано решение, где сообщается о выполнении и что изменилось в новой версии. Сам по себе он не определяет выбор или отмену лечения.</w:t>
      </w:r>
    </w:p>
    <w:p>
      <w:pPr>
        <w:pStyle w:val="Heading1"/>
      </w:pPr>
      <w:bookmarkStart w:id="29" w:name="section_23"/>
      <w:r>
        <w:t>23 Восемь составленных примеров</w:t>
      </w:r>
      <w:bookmarkEnd w:id="29"/>
    </w:p>
    <w:p>
      <w:pPr/>
      <w:r>
        <w:t>Следующие пары составлены для исследования. Это не цитаты медицинских документов и не сообщения о реальных ошибках. В каждой паре вторая строка рассматривается как пересказ первой без дополнительных оснований. Если следующий этап записан в другом документе, этот документ нужно предъявить и разобрать отдельно: в самой паре его нет.</w:t>
      </w:r>
    </w:p>
    <w:p>
      <w:pPr/>
      <w:r>
        <w:t>Поправки относятся к письменному утверждению. Они не являются клиническими назначениями и могут измениться при добавлении материала.</w:t>
      </w:r>
    </w:p>
    <w:p>
      <w:pPr>
        <w:pStyle w:val="Heading2"/>
      </w:pPr>
      <w:bookmarkStart w:id="30" w:name="a_9318a536f7d18b01a634b09882bbd0"/>
      <w:r>
        <w:t>От подозрения к установленному диагнозу</w:t>
      </w:r>
      <w:bookmarkEnd w:id="30"/>
    </w:p>
    <w:p>
      <w:pPr>
        <w:keepNext/>
      </w:pPr>
      <w:r>
        <w:rPr>
          <w:b/>
        </w:rPr>
        <w:t>Запись:</w:t>
      </w:r>
      <w:r>
        <w:t xml:space="preserve"> «Признаки подозрительны в отношении злокачественного процесса. Требуется уточнение».</w:t>
      </w:r>
    </w:p>
    <w:p>
      <w:pPr/>
      <w:r>
        <w:rPr>
          <w:b/>
        </w:rPr>
        <w:t>Пересказ:</w:t>
      </w:r>
      <w:r>
        <w:t xml:space="preserve"> «Злокачественный процесс установлен».</w:t>
      </w:r>
    </w:p>
    <w:p>
      <w:pPr/>
      <w:r>
        <w:rPr>
          <w:b/>
        </w:rPr>
        <w:t>Изменение:</w:t>
      </w:r>
      <w:r>
        <w:t xml:space="preserve"> исчезло требование уточнения, утверждение стало сильнее. О завершённом уточнении в этой паре ничего не сообщается.</w:t>
      </w:r>
    </w:p>
    <w:p>
      <w:pPr/>
      <w:r>
        <w:rPr>
          <w:b/>
        </w:rPr>
        <w:t>Поправка:</w:t>
      </w:r>
      <w:r>
        <w:t xml:space="preserve"> «В приведённом заключении указано подозрение и необходимость уточнения. Если диагноз впоследствии установлен, отдельно приводятся документ и дата». В самой паре нет записи о результате такого последующего уточнения.</w:t>
      </w:r>
    </w:p>
    <w:p>
      <w:pPr>
        <w:pStyle w:val="Heading2"/>
      </w:pPr>
      <w:bookmarkStart w:id="31" w:name="a_ebd41649e144491ef553d82c52f13c"/>
      <w:r>
        <w:t>От представленного материала ко всему телу</w:t>
      </w:r>
      <w:bookmarkEnd w:id="31"/>
    </w:p>
    <w:p>
      <w:pPr>
        <w:keepNext/>
      </w:pPr>
      <w:r>
        <w:rPr>
          <w:b/>
        </w:rPr>
        <w:t>Запись:</w:t>
      </w:r>
      <w:r>
        <w:t xml:space="preserve"> «В представленном материале признаков не выявлено».</w:t>
      </w:r>
    </w:p>
    <w:p>
      <w:pPr/>
      <w:r>
        <w:rPr>
          <w:b/>
        </w:rPr>
        <w:t>Пересказ:</w:t>
      </w:r>
      <w:r>
        <w:t xml:space="preserve"> «Во всём организме заболевания нет».</w:t>
      </w:r>
    </w:p>
    <w:p>
      <w:pPr/>
      <w:r>
        <w:rPr>
          <w:b/>
        </w:rPr>
        <w:t>Изменение:</w:t>
      </w:r>
      <w:r>
        <w:t xml:space="preserve"> отрицание, относившееся к представленному материалу, распространено на весь организм.</w:t>
      </w:r>
    </w:p>
    <w:p>
      <w:pPr/>
      <w:r>
        <w:rPr>
          <w:b/>
        </w:rPr>
        <w:t>Поправка:</w:t>
      </w:r>
      <w:r>
        <w:t xml:space="preserve"> «Заключение относится к указанному материалу и условиям исследования». Для более широкого вывода нужны отдельные основания. В самой паре ничего не записано о наличии или отсутствии заболевания за пределами указанного материала.</w:t>
      </w:r>
    </w:p>
    <w:p>
      <w:pPr>
        <w:pStyle w:val="Heading2"/>
      </w:pPr>
      <w:bookmarkStart w:id="32" w:name="a_44b91e38d997482a90235988a3b99e"/>
      <w:r>
        <w:t>От отсутствующего значения к результату</w:t>
      </w:r>
      <w:bookmarkEnd w:id="32"/>
    </w:p>
    <w:p>
      <w:pPr>
        <w:keepNext/>
      </w:pPr>
      <w:r>
        <w:rPr>
          <w:b/>
        </w:rPr>
        <w:t>Запись:</w:t>
      </w:r>
      <w:r>
        <w:t xml:space="preserve"> «Значение не получено».</w:t>
      </w:r>
    </w:p>
    <w:p>
      <w:pPr/>
      <w:r>
        <w:rPr>
          <w:b/>
        </w:rPr>
        <w:t>Пересказ:</w:t>
      </w:r>
      <w:r>
        <w:t xml:space="preserve"> «Результат отрицательный».</w:t>
      </w:r>
    </w:p>
    <w:p>
      <w:pPr/>
      <w:r>
        <w:rPr>
          <w:b/>
        </w:rPr>
        <w:t>Изменение:</w:t>
      </w:r>
      <w:r>
        <w:t xml:space="preserve"> отсутствие результата прочитано как полученный результат определённого типа.</w:t>
      </w:r>
    </w:p>
    <w:p>
      <w:pPr/>
      <w:r>
        <w:rPr>
          <w:b/>
        </w:rPr>
        <w:t>Поправка:</w:t>
      </w:r>
      <w:r>
        <w:t xml:space="preserve"> сохранить сообщение об отсутствии значения и указать причину, если она записана. Пустое поле не позволяет угадать причину; ноль, пропуск и отрицательный результат не становятся синонимами.</w:t>
      </w:r>
    </w:p>
    <w:p>
      <w:pPr>
        <w:pStyle w:val="Heading2"/>
      </w:pPr>
      <w:bookmarkStart w:id="33" w:name="a_6d67007fb60f8bccdb9c27c388c029"/>
      <w:r>
        <w:t>От назначения к исполнению</w:t>
      </w:r>
      <w:bookmarkEnd w:id="33"/>
    </w:p>
    <w:p>
      <w:pPr>
        <w:keepNext/>
      </w:pPr>
      <w:r>
        <w:rPr>
          <w:b/>
        </w:rPr>
        <w:t>Запись:</w:t>
      </w:r>
      <w:r>
        <w:t xml:space="preserve"> «Процедура назначена».</w:t>
      </w:r>
    </w:p>
    <w:p>
      <w:pPr/>
      <w:r>
        <w:rPr>
          <w:b/>
        </w:rPr>
        <w:t>Пересказ:</w:t>
      </w:r>
      <w:r>
        <w:t xml:space="preserve"> «Процедура выполнена».</w:t>
      </w:r>
    </w:p>
    <w:p>
      <w:pPr/>
      <w:r>
        <w:rPr>
          <w:b/>
        </w:rPr>
        <w:t>Изменение:</w:t>
      </w:r>
      <w:r>
        <w:t xml:space="preserve"> вторая строка сообщает об исполнении, хотя первая содержит только назначение.</w:t>
      </w:r>
    </w:p>
    <w:p>
      <w:pPr/>
      <w:r>
        <w:rPr>
          <w:b/>
        </w:rPr>
        <w:t>Поправка:</w:t>
      </w:r>
      <w:r>
        <w:t xml:space="preserve"> «В доступном документе зафиксировано назначение. Для сообщения об исполнении требуется относящийся к нему материал». В самой паре нет записи об исполнении; если такая запись существует, её нужно предъявить отдельно.</w:t>
      </w:r>
    </w:p>
    <w:p>
      <w:pPr>
        <w:pStyle w:val="Heading2"/>
      </w:pPr>
      <w:bookmarkStart w:id="34" w:name="a_82d7996f54acf3c8eefffae1afe2d0"/>
      <w:r>
        <w:t>От планового расчёта к измерению при сеансе</w:t>
      </w:r>
      <w:bookmarkEnd w:id="34"/>
    </w:p>
    <w:p>
      <w:pPr>
        <w:keepNext/>
      </w:pPr>
      <w:r>
        <w:rPr>
          <w:b/>
        </w:rPr>
        <w:t>Запись:</w:t>
      </w:r>
      <w:r>
        <w:t xml:space="preserve"> «В плане приведено расчётное значение дозы».</w:t>
      </w:r>
    </w:p>
    <w:p>
      <w:pPr/>
      <w:r>
        <w:rPr>
          <w:b/>
        </w:rPr>
        <w:t>Пересказ:</w:t>
      </w:r>
      <w:r>
        <w:t xml:space="preserve"> «Это значение дозы измерено при проведении сеанса».</w:t>
      </w:r>
    </w:p>
    <w:p>
      <w:pPr/>
      <w:r>
        <w:rPr>
          <w:b/>
        </w:rPr>
        <w:t>Изменение:</w:t>
      </w:r>
      <w:r>
        <w:t xml:space="preserve"> расчёт в плане прочитан как сообщение об измерении при исполнении. Основания для этого сообщения в паре нет.</w:t>
      </w:r>
    </w:p>
    <w:p>
      <w:pPr/>
      <w:r>
        <w:rPr>
          <w:b/>
        </w:rPr>
        <w:t>Поправка:</w:t>
      </w:r>
      <w:r>
        <w:t xml:space="preserve"> сохранить отнесение к плану, модель и условия, а запись об измерении при сеансе привести отдельно, если она есть. Расчёт может участвовать в получении результата измерения; здесь различаются конкретные роли плановой оценки и записи о проведённом сеансе. </w:t>
      </w:r>
      <w:r>
        <w:t>[</w:t>
      </w:r>
      <w:hyperlink w:anchor="source_17">
        <w:r>
          <w:rPr>
            <w:color w:val="000000"/>
          </w:rPr>
          <w:t xml:space="preserve">17</w:t>
        </w:r>
      </w:hyperlink>
      <w:r>
        <w:t>]</w:t>
      </w:r>
    </w:p>
    <w:p>
      <w:pPr>
        <w:pStyle w:val="Heading2"/>
      </w:pPr>
      <w:bookmarkStart w:id="35" w:name="a_dfee86c335f18a5b14f7ed2ea5a9cf"/>
      <w:r>
        <w:t>От ответа в анкете к выполненной операции</w:t>
      </w:r>
      <w:bookmarkEnd w:id="35"/>
    </w:p>
    <w:p>
      <w:pPr>
        <w:keepNext/>
      </w:pPr>
      <w:r>
        <w:rPr>
          <w:b/>
        </w:rPr>
        <w:t>Запись:</w:t>
      </w:r>
      <w:r>
        <w:t xml:space="preserve"> «Участник выбрал вариант операции в анкете».</w:t>
      </w:r>
    </w:p>
    <w:p>
      <w:pPr/>
      <w:r>
        <w:rPr>
          <w:b/>
        </w:rPr>
        <w:t>Пересказ:</w:t>
      </w:r>
      <w:r>
        <w:t xml:space="preserve"> «Участнику сделали операцию из-за этого названия».</w:t>
      </w:r>
    </w:p>
    <w:p>
      <w:pPr/>
      <w:r>
        <w:rPr>
          <w:b/>
        </w:rPr>
        <w:t>Изменение:</w:t>
      </w:r>
      <w:r>
        <w:t xml:space="preserve"> вместо ответа сообщается о вмешательстве и добавляется индивидуальная причинная связь.</w:t>
      </w:r>
    </w:p>
    <w:p>
      <w:pPr/>
      <w:r>
        <w:rPr>
          <w:b/>
        </w:rPr>
        <w:t>Поправка:</w:t>
      </w:r>
      <w:r>
        <w:t xml:space="preserve"> «Записан выбор в гипотетическом сценарии». Пара ничего не сообщает о реальном лечении и его причинах. Поправка сохраняет предмет исследования терминологии, не приписывая ему другого результата.</w:t>
      </w:r>
    </w:p>
    <w:p>
      <w:pPr>
        <w:pStyle w:val="Heading2"/>
      </w:pPr>
      <w:bookmarkStart w:id="36" w:name="a_a47fbc3817752e097a33ddfc73442b"/>
      <w:r>
        <w:t>От диагноза ко всей жизни</w:t>
      </w:r>
      <w:bookmarkEnd w:id="36"/>
    </w:p>
    <w:p>
      <w:pPr>
        <w:keepNext/>
      </w:pPr>
      <w:r>
        <w:rPr>
          <w:b/>
        </w:rPr>
        <w:t>Запись:</w:t>
      </w:r>
      <w:r>
        <w:t xml:space="preserve"> «В заключении указан диагноз».</w:t>
      </w:r>
    </w:p>
    <w:p>
      <w:pPr/>
      <w:r>
        <w:rPr>
          <w:b/>
        </w:rPr>
        <w:t>Пересказ:</w:t>
      </w:r>
      <w:r>
        <w:t xml:space="preserve"> «Теперь о человеке известно всё существенное».</w:t>
      </w:r>
    </w:p>
    <w:p>
      <w:pPr/>
      <w:r>
        <w:rPr>
          <w:b/>
        </w:rPr>
        <w:t>Изменение:</w:t>
      </w:r>
      <w:r>
        <w:t xml:space="preserve"> медицинское заключение распространено на все существенные стороны человека, но критерий существенности не указан.</w:t>
      </w:r>
    </w:p>
    <w:p>
      <w:pPr/>
      <w:r>
        <w:rPr>
          <w:b/>
        </w:rPr>
        <w:t>Поправка:</w:t>
      </w:r>
      <w:r>
        <w:t xml:space="preserve"> «Запись относится к определённому диагностическому вопросу». Это не предписывает, насколько значим диагноз для самого человека, и не заменяет его собственного сообщения.</w:t>
      </w:r>
    </w:p>
    <w:p>
      <w:pPr>
        <w:pStyle w:val="Heading2"/>
      </w:pPr>
      <w:bookmarkStart w:id="37" w:name="a_a50068a4fec67c02b127265b055ecf"/>
      <w:r>
        <w:t>От проверки файла к клиническому выводу</w:t>
      </w:r>
      <w:bookmarkEnd w:id="37"/>
    </w:p>
    <w:p>
      <w:pPr>
        <w:keepNext/>
      </w:pPr>
      <w:r>
        <w:rPr>
          <w:b/>
        </w:rPr>
        <w:t>Запись:</w:t>
      </w:r>
      <w:r>
        <w:t xml:space="preserve"> «Файл соответствует заданному формату».</w:t>
      </w:r>
    </w:p>
    <w:p>
      <w:pPr/>
      <w:r>
        <w:rPr>
          <w:b/>
        </w:rPr>
        <w:t>Пересказ:</w:t>
      </w:r>
      <w:r>
        <w:t xml:space="preserve"> «Диагноз верен и лечение подходит».</w:t>
      </w:r>
    </w:p>
    <w:p>
      <w:pPr/>
      <w:r>
        <w:rPr>
          <w:b/>
        </w:rPr>
        <w:t>Изменение:</w:t>
      </w:r>
      <w:r>
        <w:t xml:space="preserve"> результат проверки структуры расширен до двух медицинских утверждений.</w:t>
      </w:r>
    </w:p>
    <w:p>
      <w:pPr/>
      <w:r>
        <w:rPr>
          <w:b/>
        </w:rPr>
        <w:t>Поправка:</w:t>
      </w:r>
      <w:r>
        <w:t xml:space="preserve"> назвать проверенные свойства файла и отдельно рассмотреть основания диагноза и лечения. Техническая корректность может быть необходима для обработки файла, но не охватывает всех условий клинического вывода.</w:t>
      </w:r>
    </w:p>
    <w:p>
      <w:pPr>
        <w:pStyle w:val="Heading1"/>
      </w:pPr>
      <w:bookmarkStart w:id="38" w:name="section_24"/>
      <w:r>
        <w:t>24 Материал и охват исследования</w:t>
      </w:r>
      <w:bookmarkEnd w:id="38"/>
    </w:p>
    <w:p>
      <w:pPr/>
      <w:r>
        <w:t>Работа разбирает опубликованные материалы и понятия; нового клинического испытания, обследования пациента или аудита больницы она не проводит. В список включены 36 источников: 25 внешних медицинских, технических, метрологических и расследовательских материалов, десять работ раздела beforeword «Исследования» и отдельная работа о материалах Horizon.</w:t>
      </w:r>
    </w:p>
    <w:p>
      <w:pPr/>
      <w:r>
        <w:t>Шесть случаев выбраны по различию переходов, а не для оценки распространённости ошибок. Три изложены в клинических статьях, один — в PSNet, два — в решениях HDC. Доступны опубликованные описания и включённые в них фрагменты, а не полные карты пациентов. Обозначения людей сохранены по источникам; дополнительные персональные сведения не разыскивались.</w:t>
      </w:r>
    </w:p>
    <w:p>
      <w:pPr/>
      <w:r>
        <w:t>Эксперимент с названиями в гипотетических сценариях и работы о NIFTP рассматриваются отдельно. Ответ в анкете, расследование, клиническое описание и пересмотр классификации отвечают на разные вопросы. Их результаты нельзя соединить в историю одного пациента или использовать как взаимозаменяемые выводы.</w:t>
      </w:r>
    </w:p>
    <w:p>
      <w:pPr/>
      <w:r>
        <w:t>Медицинские публикации читаются как датированные сообщения с собственными методами и ограничениями. Стандарты описывают форматы и предусмотренные различия: наличие поля в стандарте не означает, что оно заполнено в каждом реальном документе. Описание производителя в материалах FDA не заменяет независимого исследования всех случаев эксплуатации.</w:t>
      </w:r>
    </w:p>
    <w:p>
      <w:pPr/>
      <w:r>
        <w:t>При разборе указаны фрагмент или обозначенный пересказ, источник и версия, авторское пояснение, область утверждения и предел доступного материала. Перевод отделён от исходной цитаты, составленные примеры — от опубликованных случаев. Предлагаемая поправка не выдаётся за уже внесённое изменение в медицинской системе. Русская и английская версии сохраняют одинаковые случаи, аргументы и номера ссылок; составленные примеры адаптированы к языку версии.</w:t>
      </w:r>
    </w:p>
    <w:p>
      <w:pPr>
        <w:pStyle w:val="Heading1"/>
      </w:pPr>
      <w:bookmarkStart w:id="39" w:name="section_25"/>
      <w:r>
        <w:t>25 Связь с исследованиями beforeword</w:t>
      </w:r>
      <w:bookmarkEnd w:id="39"/>
    </w:p>
    <w:p>
      <w:pPr/>
      <w:r>
        <w:t>Ниже показано, какие способы сопоставления записей использованы из десяти работ раздела «Исследования» и отдельного разбора Horizon. Использованы основные русские страницы сохранённой редакции от 23 сентября 2026 года и рукопись Horizon той же даты; повторное выполнение всех программных проверок и прочтение каждого архивного приложения здесь не заявляются. Это методическая связь, а не взаимное подтверждение работ: формальные результаты не переносятся на медицину, а предложенный beforeword порядок не объявляется действующим клиническим или правовым стандартом.</w:t>
      </w:r>
    </w:p>
    <w:p>
      <w:pPr>
        <w:pStyle w:val="Heading2"/>
      </w:pPr>
      <w:bookmarkStart w:id="40" w:name="a_a919a25acbee97a625f92c7d19a262"/>
      <w:r>
        <w:t>Границы записи</w:t>
      </w:r>
      <w:bookmarkEnd w:id="40"/>
    </w:p>
    <w:p>
      <w:pPr/>
      <w:r>
        <w:t xml:space="preserve">Первоначальная запись и позднее утверждение сопоставляются как разные версии: исправление не помещается задним числом в исходное заключение. Новое основание может изменить вывод, сохраняя собственную дату и содержание; если первоначальная версия недоступна, её нельзя восстановить догадкой. </w:t>
      </w:r>
      <w:r>
        <w:t>[</w:t>
      </w:r>
      <w:hyperlink w:anchor="source_18">
        <w:r>
          <w:rPr>
            <w:color w:val="000000"/>
          </w:rPr>
          <w:t xml:space="preserve">18</w:t>
        </w:r>
      </w:hyperlink>
      <w:r>
        <w:t>]</w:t>
      </w:r>
    </w:p>
    <w:p>
      <w:pPr>
        <w:pStyle w:val="Heading2"/>
      </w:pPr>
      <w:bookmarkStart w:id="41" w:name="a_1cfe3662312d5bcdd9588a0ef5b123"/>
      <w:r>
        <w:t>Ты меня понял</w:t>
      </w:r>
      <w:bookmarkEnd w:id="41"/>
    </w:p>
    <w:p>
      <w:pPr/>
      <w:r>
        <w:t xml:space="preserve">Ответ «да», повтор диагноза, подпись и фраза «пациент информирован» показаны отдельно от фразы «пациент понял». Ни одна из первых записей не содержит последнюю фразу и не предъявляет приписываемое человеку понимание. Для утверждения о понимании конкретного человека нужны относящиеся к нему основания. </w:t>
      </w:r>
      <w:r>
        <w:t>[</w:t>
      </w:r>
      <w:hyperlink w:anchor="source_19">
        <w:r>
          <w:rPr>
            <w:color w:val="000000"/>
          </w:rPr>
          <w:t xml:space="preserve">19</w:t>
        </w:r>
      </w:hyperlink>
      <w:r>
        <w:t>]</w:t>
      </w:r>
    </w:p>
    <w:p>
      <w:pPr>
        <w:pStyle w:val="Heading2"/>
      </w:pPr>
      <w:bookmarkStart w:id="42" w:name="a_95e8380458177c3444009a5cabda16"/>
      <w:r>
        <w:t>Вид со стороны появляется позже</w:t>
      </w:r>
      <w:bookmarkEnd w:id="42"/>
    </w:p>
    <w:p>
      <w:pPr/>
      <w:r>
        <w:t xml:space="preserve">Изображение, выделенная область, измерение и заключение получают отдельные места в разборе. Основания для чтения фрагмента не распространяются автоматически на всего человека и его будущее; если утверждается происхождение изображения, нужны основания и для этой связи. </w:t>
      </w:r>
      <w:r>
        <w:t>[</w:t>
      </w:r>
      <w:hyperlink w:anchor="source_20">
        <w:r>
          <w:rPr>
            <w:color w:val="000000"/>
          </w:rPr>
          <w:t xml:space="preserve">20</w:t>
        </w:r>
      </w:hyperlink>
      <w:r>
        <w:t>]</w:t>
      </w:r>
    </w:p>
    <w:p>
      <w:pPr>
        <w:pStyle w:val="Heading2"/>
      </w:pPr>
      <w:bookmarkStart w:id="43" w:name="a_79dc506743f40b16122eb74a4b9c7b"/>
      <w:r>
        <w:t>Чтение как клетка</w:t>
      </w:r>
      <w:bookmarkEnd w:id="43"/>
    </w:p>
    <w:p>
      <w:pPr/>
      <w:r>
        <w:t>Несколько копий диагноза не являются несколькими независимыми исследованиями. Повтор фиксирует повтор записи; если новое исследование поддерживает или изменяет диагноз, его материал, дата и основания предъявляются отдельно. [21]</w:t>
      </w:r>
    </w:p>
    <w:p>
      <w:pPr>
        <w:pStyle w:val="Heading2"/>
      </w:pPr>
      <w:bookmarkStart w:id="44" w:name="a_3df5f45b7d99b72651d27210b6803d"/>
      <w:r>
        <w:t>Строка не имеет полномочий</w:t>
      </w:r>
      <w:bookmarkEnd w:id="44"/>
    </w:p>
    <w:p>
      <w:pPr/>
      <w:r>
        <w:t xml:space="preserve">Назначение и его дословное воспроизведение в ответе ИИ требуют отдельных оснований для применения: происхождения, связи с конкретным случаем и полномочий. Внесение записи может выполнять предусмотренное системой действие или менять статус документа, но условия этого действия нельзя восстановить из слов «подписано», «разрешено» или «подтверждено». </w:t>
      </w:r>
      <w:r>
        <w:t>[</w:t>
      </w:r>
      <w:hyperlink w:anchor="source_22">
        <w:r>
          <w:rPr>
            <w:color w:val="000000"/>
          </w:rPr>
          <w:t xml:space="preserve">22</w:t>
        </w:r>
      </w:hyperlink>
      <w:r>
        <w:t>]</w:t>
      </w:r>
    </w:p>
    <w:p>
      <w:pPr>
        <w:pStyle w:val="Heading2"/>
      </w:pPr>
      <w:bookmarkStart w:id="45" w:name="a_8b52e4596521ce36182200d90e8488"/>
      <w:r>
        <w:t>Оценка не покидает запись</w:t>
      </w:r>
      <w:bookmarkEnd w:id="45"/>
    </w:p>
    <w:p>
      <w:pPr/>
      <w:r>
        <w:t xml:space="preserve">Проверка формата файла не устанавливает правильность диагноза или пригодность лечения: нужно назвать проверенные свойства и границы проверки. То же относится к совпадению цитаты с источником и оценкам в этой рукописи. Слова «критерий», «полезно» и «проверено» остаются написаниями и не удостоверяют себя; слово «необоснованно» не заменяет возражения по существу. </w:t>
      </w:r>
      <w:r>
        <w:t>[</w:t>
      </w:r>
      <w:hyperlink w:anchor="source_23">
        <w:r>
          <w:rPr>
            <w:color w:val="000000"/>
          </w:rPr>
          <w:t xml:space="preserve">23</w:t>
        </w:r>
      </w:hyperlink>
      <w:r>
        <w:t>]</w:t>
      </w:r>
    </w:p>
    <w:p>
      <w:pPr>
        <w:pStyle w:val="Heading2"/>
      </w:pPr>
      <w:bookmarkStart w:id="46" w:name="a_ca16c94d164accadaa0c01986ef57d"/>
      <w:r>
        <w:t>Математическая запись</w:t>
      </w:r>
      <w:bookmarkEnd w:id="46"/>
    </w:p>
    <w:p>
      <w:pPr/>
      <w:r>
        <w:t>Единицы, пороги, вероятности и расчётные значения рассматриваются вместе с условиями и правилами применения. Если записи нет, в подборке нет соответствующей записи; фраза о всеобщем отсутствии была бы следующим утверждением и потребовала бы своих оснований. Успешное применение формулы не превращает её в то, что она обозначает; результаты этапов 0–7 сохраняют область объявленных конструкций. [24]</w:t>
      </w:r>
    </w:p>
    <w:p>
      <w:pPr>
        <w:pStyle w:val="Heading2"/>
      </w:pPr>
      <w:bookmarkStart w:id="47" w:name="a_09ccbaca32ae9d356634eb18f56984"/>
      <w:r>
        <w:t>ТОЧКА</w:t>
      </w:r>
      <w:bookmarkEnd w:id="47"/>
    </w:p>
    <w:p>
      <w:pPr/>
      <w:r>
        <w:t xml:space="preserve">Исходная запись, позднее прочтение, названное основание и исправление предъявляются как отдельные записи, даже когда поздний вывод хорошо обоснован. Если слов вывода нет в исходном фрагменте, это показывает только их отсутствие в нём; фраза «вывод ложен» от этого не появляется. Код может участвовать в работе аппарата, не становясь выполненной процедурой. </w:t>
      </w:r>
      <w:r>
        <w:t>[</w:t>
      </w:r>
      <w:hyperlink w:anchor="source_25">
        <w:r>
          <w:rPr>
            <w:color w:val="000000"/>
          </w:rPr>
          <w:t xml:space="preserve">25</w:t>
        </w:r>
      </w:hyperlink>
      <w:r>
        <w:t>]</w:t>
      </w:r>
    </w:p>
    <w:p>
      <w:pPr>
        <w:pStyle w:val="Heading2"/>
      </w:pPr>
      <w:bookmarkStart w:id="48" w:name="a_e2eefe7a25d2e45a3ebfccddf8debc"/>
      <w:r>
        <w:t>Начертание и чтение</w:t>
      </w:r>
      <w:bookmarkEnd w:id="48"/>
    </w:p>
    <w:p>
      <w:pPr/>
      <w:r>
        <w:t xml:space="preserve">Одинаковое диагностическое написание рассматривается в разных употреблениях: как клиническое заключение, учётный код, сообщение человеку и часть его собственного рассказа. Совпадение написаний или ответов не устанавливает одинакового понимания, а новое пояснение остаётся ещё одним фрагментом для разбора. </w:t>
      </w:r>
      <w:r>
        <w:t>[</w:t>
      </w:r>
      <w:hyperlink w:anchor="source_26">
        <w:r>
          <w:rPr>
            <w:color w:val="000000"/>
          </w:rPr>
          <w:t xml:space="preserve">26</w:t>
        </w:r>
      </w:hyperlink>
      <w:r>
        <w:t>]</w:t>
      </w:r>
    </w:p>
    <w:p>
      <w:pPr>
        <w:pStyle w:val="Heading2"/>
      </w:pPr>
      <w:bookmarkStart w:id="49" w:name="a_49c1f763f568b4397d45eccfb1f6a2"/>
      <w:r>
        <w:t>Написанное я</w:t>
      </w:r>
      <w:bookmarkEnd w:id="49"/>
    </w:p>
    <w:p>
      <w:pPr/>
      <w:r>
        <w:t xml:space="preserve">В объясняющей фразе рассматриваются также отрицание, принадлежность, глагол и приписанное состояние. Поэтому диагноз сам по себе не позволяет приписать пациенту переживание, а авторское пояснение не заменяет его опыта; утверждение об отсутствии букв в теле не является обследованием тела. </w:t>
      </w:r>
      <w:r>
        <w:t>[</w:t>
      </w:r>
      <w:hyperlink w:anchor="source_27">
        <w:r>
          <w:rPr>
            <w:color w:val="000000"/>
          </w:rPr>
          <w:t xml:space="preserve">27</w:t>
        </w:r>
      </w:hyperlink>
      <w:r>
        <w:t>]</w:t>
      </w:r>
    </w:p>
    <w:p>
      <w:pPr>
        <w:pStyle w:val="Heading2"/>
      </w:pPr>
      <w:bookmarkStart w:id="50" w:name="a_4db69b0d06256449e1dcfd09a0e29f"/>
      <w:r>
        <w:t>Текст на месте текста и материалы Horizon</w:t>
      </w:r>
      <w:bookmarkEnd w:id="50"/>
    </w:p>
    <w:p>
      <w:pPr/>
      <w:r>
        <w:t xml:space="preserve">При переходе к следующему утверждению сохраняются исходный фрагмент, связь между утверждениями, условие и предлагаемая поправка. В медицинской записи это требует удерживать отрицание, степень уверенности, дату и роль документа, чтобы рекомендация не превратилась в сообщение об исполнении, а общий результат — в индивидуальное последствие. </w:t>
      </w:r>
      <w:r>
        <w:t>[</w:t>
      </w:r>
      <w:hyperlink w:anchor="source_28">
        <w:r>
          <w:rPr>
            <w:color w:val="000000"/>
          </w:rPr>
          <w:t xml:space="preserve">28</w:t>
        </w:r>
      </w:hyperlink>
      <w:r>
        <w:t>]</w:t>
      </w:r>
    </w:p>
    <w:p>
      <w:pPr>
        <w:pStyle w:val="Heading1"/>
      </w:pPr>
      <w:bookmarkStart w:id="51" w:name="section_26"/>
      <w:r>
        <w:t>26 Когда этот разбор нужно изменить</w:t>
      </w:r>
      <w:bookmarkEnd w:id="51"/>
    </w:p>
    <w:p>
      <w:pPr/>
      <w:r>
        <w:t>Неточная цитата, пропущенный контекст, другая редакция документа или неверно понятая роль поля могут изменить вывод. Тогда исправляется конкретное место. Слово «граница» не защищает текст от такого возражения.</w:t>
      </w:r>
    </w:p>
    <w:p>
      <w:pPr/>
      <w:r>
        <w:t>Предполагаемая подмена может не подтвердиться. Например, статус подозрения сохранён в другом поле, новый диагноз опирается на дополнительное исследование, а право использовать запись определено применимым правилом. Эти сведения нужно учитывать. Подборка фиксирует только включённые документы; если разбор опирается на другой документ, его нужно предъявить отдельно.</w:t>
      </w:r>
    </w:p>
    <w:p>
      <w:pPr/>
      <w:r>
        <w:t>Для причинного вывода также нужны свои основания. Выбор операции в гипотетическом сценарии не сообщает о её проведении; новая классификация не описывает судьбу каждого пациента; формат журнала не показывает работу отдельной клиники. Значимость темы не восполняет недостающие документы.</w:t>
      </w:r>
    </w:p>
    <w:p>
      <w:pPr/>
      <w:r>
        <w:t>Фраза «это тоже текст» не служит ответом на содержательное возражение. Если этой фразой отклонять любое дополнение, разбор перестанет учитывать основания, которые сам требует рассматривать.</w:t>
      </w:r>
    </w:p>
    <w:p>
      <w:pPr/>
      <w:r>
        <w:t>Работа не предъявляет клиническое испытание метода, измерение его общественного эффекта или доказательство новизны. Здесь предъявлены выбранные материалы, сопоставления и предлагаемые поправки. Фраза «запись не становится описанным» не содержит назначения конкретному человеку и не заменяет медицинские основания решения начать, изменить или прекратить лечение.</w:t>
      </w:r>
    </w:p>
    <w:p>
      <w:pPr>
        <w:pStyle w:val="Heading1"/>
      </w:pPr>
      <w:bookmarkStart w:id="52" w:name="section_27"/>
      <w:r>
        <w:t>27 Что проверять при следующем использовании записи</w:t>
      </w:r>
      <w:bookmarkEnd w:id="52"/>
    </w:p>
    <w:p>
      <w:pPr/>
      <w:r>
        <w:t>Разбор сосредоточен на конкретных вопросах: кому принадлежит результат, что означает его статус, какое решение им обосновано, что записано об исполнении и какие слова добавлены о человеке. Медицинские источники и технические стандарты уже различают многие из этих вопросов. Работа не приписывает beforeword их открытие.</w:t>
      </w:r>
    </w:p>
    <w:p>
      <w:pPr/>
      <w:r>
        <w:t>Порядок beforeword обращает внимание на дальнейшее использование записи. Повтор диагноза может сопровождаться новым содержанием. Поправка должна показать именно это добавление и его основание, а не объявить любую новую фразу ошибкой.</w:t>
      </w:r>
    </w:p>
    <w:p>
      <w:pPr/>
      <w:r>
        <w:t>И там, где ошибки не найдено, запись диагноза не становится заболеванием. Отчёт о лечении не становится лечением. Описание последствий не становится жизнью человека. Новые основания могут изменить оценку сообщения; следующая оценка также остаётся записью и не превращает предыдущее сообщение в описанное.</w:t>
      </w:r>
    </w:p>
    <w:p>
      <w:pPr/>
      <w:r>
        <w:t>В этом заключении слова «диагноз», «лечение», «последствия», «жизнь» и «основания» также написаны. Эта строка не получает исключения.</w:t>
      </w:r>
    </w:p>
    <w:p>
      <w:pPr/>
      <w:r>
        <w:rPr>
          <w:b/>
        </w:rPr>
        <w:t>Никакое описание не становится человеком. Эта строка также остаётся записью.</w:t>
      </w:r>
    </w:p>
    <w:p>
      <w:pPr>
        <w:pStyle w:val="Heading1"/>
      </w:pPr>
      <w:bookmarkStart w:id="53" w:name="sources"/>
      <w:r>
        <w:t>Источники и состав корпуса</w:t>
      </w:r>
      <w:bookmarkEnd w:id="53"/>
    </w:p>
    <w:p>
      <w:pPr>
        <w:pStyle w:val="Bibliography"/>
        <w:keepLines/>
      </w:pPr>
      <w:r>
        <w:t>Ссылки ниже указывают тексты, использованные при подготовке 24 сентября 2026 года. Описания медицинских публикаций переданы кратко; составленные примеры обозначены в основном тексте. URL разделов DICOM с компонентом current могут менять содержимое: прочитанные страницы обозначены как PS3.3 2026d. Для FHIR указана редакция R5 5.0.0. Даты и обозначения редакций здесь также записаны словами и числами; они приведены как сведения, сообщаемые источниками.</w:t>
      </w:r>
    </w:p>
    <w:p>
      <w:pPr>
        <w:pStyle w:val="Heading2"/>
      </w:pPr>
      <w:bookmarkStart w:id="54" w:name="a_cd3c1333845bcd69f9ae1e6a816baf"/>
      <w:r>
        <w:t>Медицинские и технические материалы</w:t>
      </w:r>
      <w:bookmarkEnd w:id="54"/>
    </w:p>
    <w:p>
      <w:pPr>
        <w:pStyle w:val="Bibliography"/>
        <w:keepLines/>
      </w:pPr>
      <w:bookmarkStart w:id="55" w:name="source_1"/>
      <w:r>
        <w:t>[1]</w:t>
      </w:r>
      <w:r>
        <w:t xml:space="preserve"> National Cancer Institute. Tests and Procedures Used to Diagnose Cancer. Разделы о лабораторных исследованиях, визуализации и биопсии. </w:t>
      </w:r>
      <w:r>
        <w:br/>
      </w:r>
      <w:hyperlink r:id="rId12">
        <w:r>
          <w:rPr>
            <w:color w:val="000000"/>
            <w:u w:val="single"/>
            <w:sz w:val="19"/>
          </w:rPr>
          <w:t xml:space="preserve">https://www.cancer.gov/about-cancer/diagnosis-staging/diagnosis</w:t>
        </w:r>
      </w:hyperlink>
      <w:bookmarkEnd w:id="55"/>
    </w:p>
    <w:p>
      <w:pPr>
        <w:pStyle w:val="Bibliography"/>
        <w:keepLines/>
      </w:pPr>
      <w:bookmarkStart w:id="56" w:name="source_2"/>
      <w:r>
        <w:t>[2]</w:t>
      </w:r>
      <w:r>
        <w:t xml:space="preserve"> National Cancer Institute. Surgical Pathology Reports. Структура заключения, комментарии и дальнейшее использование. </w:t>
      </w:r>
      <w:r>
        <w:br/>
      </w:r>
      <w:hyperlink r:id="rId13">
        <w:r>
          <w:rPr>
            <w:color w:val="000000"/>
            <w:u w:val="single"/>
            <w:sz w:val="19"/>
          </w:rPr>
          <w:t xml:space="preserve">https://www.cancer.gov/about-cancer/diagnosis-staging/diagnosis/pathology-reports-fact-sheet</w:t>
        </w:r>
      </w:hyperlink>
      <w:bookmarkEnd w:id="56"/>
    </w:p>
    <w:p>
      <w:pPr>
        <w:pStyle w:val="Bibliography"/>
        <w:keepLines/>
      </w:pPr>
      <w:bookmarkStart w:id="57" w:name="source_3"/>
      <w:r>
        <w:t>[3]</w:t>
      </w:r>
      <w:r>
        <w:t xml:space="preserve"> DICOM PS3.3 2026d. C.7.6.3 Image Pixel Module. Пиксельные данные и правила их отображения. </w:t>
      </w:r>
      <w:r>
        <w:br/>
      </w:r>
      <w:hyperlink r:id="rId14">
        <w:r>
          <w:rPr>
            <w:color w:val="000000"/>
            <w:u w:val="single"/>
            <w:sz w:val="19"/>
          </w:rPr>
          <w:t xml:space="preserve">https://dicom.nema.org/medical/dicom/current/output/chtml/part03/sect_C.7.6.3.html</w:t>
        </w:r>
      </w:hyperlink>
      <w:bookmarkEnd w:id="57"/>
    </w:p>
    <w:p>
      <w:pPr>
        <w:pStyle w:val="Bibliography"/>
        <w:keepLines/>
      </w:pPr>
      <w:bookmarkStart w:id="58" w:name="source_4"/>
      <w:r>
        <w:t>[4]</w:t>
      </w:r>
      <w:r>
        <w:t xml:space="preserve"> DICOM PS3.3 2026d. C.17.3.3 Document Content Macro. Различаемые типы содержимого структурированного отчёта. </w:t>
      </w:r>
      <w:r>
        <w:br/>
      </w:r>
      <w:hyperlink r:id="rId15">
        <w:r>
          <w:rPr>
            <w:color w:val="000000"/>
            <w:u w:val="single"/>
            <w:sz w:val="19"/>
          </w:rPr>
          <w:t xml:space="preserve">https://dicom.nema.org/medical/dicom/current/output/chtml/part03/sect_C.17.3.3.html</w:t>
        </w:r>
      </w:hyperlink>
      <w:bookmarkEnd w:id="58"/>
    </w:p>
    <w:p>
      <w:pPr>
        <w:pStyle w:val="Bibliography"/>
        <w:keepLines/>
      </w:pPr>
      <w:bookmarkStart w:id="59" w:name="source_5"/>
      <w:r>
        <w:t>[5]</w:t>
      </w:r>
      <w:r>
        <w:t xml:space="preserve"> DICOM PS3.3 2026d. C.18.1 Numeric Measurement Macro. Значения, единицы и причины отсутствия значения. </w:t>
      </w:r>
      <w:r>
        <w:br/>
      </w:r>
      <w:hyperlink r:id="rId16">
        <w:r>
          <w:rPr>
            <w:color w:val="000000"/>
            <w:u w:val="single"/>
            <w:sz w:val="19"/>
          </w:rPr>
          <w:t xml:space="preserve">https://dicom.nema.org/medical/dicom/current/output/chtml/part03/sect_C.18.html</w:t>
        </w:r>
      </w:hyperlink>
      <w:bookmarkEnd w:id="59"/>
    </w:p>
    <w:p>
      <w:pPr>
        <w:pStyle w:val="Bibliography"/>
        <w:keepLines/>
      </w:pPr>
      <w:bookmarkStart w:id="60" w:name="source_6"/>
      <w:r>
        <w:t>[6]</w:t>
      </w:r>
      <w:r>
        <w:t xml:space="preserve"> HL7 FHIR R5 5.0.0. Observation. Значения, контекст измерения и границы ресурса. </w:t>
      </w:r>
      <w:r>
        <w:br/>
      </w:r>
      <w:hyperlink r:id="rId17">
        <w:r>
          <w:rPr>
            <w:color w:val="000000"/>
            <w:u w:val="single"/>
            <w:sz w:val="19"/>
          </w:rPr>
          <w:t xml:space="preserve">https://hl7.org/fhir/R5/observation.html</w:t>
        </w:r>
      </w:hyperlink>
      <w:bookmarkEnd w:id="60"/>
    </w:p>
    <w:p>
      <w:pPr>
        <w:pStyle w:val="Bibliography"/>
        <w:keepLines/>
      </w:pPr>
      <w:bookmarkStart w:id="61" w:name="source_7"/>
      <w:r>
        <w:t>[7]</w:t>
      </w:r>
      <w:r>
        <w:t xml:space="preserve"> HL7 FHIR R5 5.0.0. DiagnosticReport. Результаты, интерпретация, представление и статус отчёта. </w:t>
      </w:r>
      <w:r>
        <w:br/>
      </w:r>
      <w:hyperlink r:id="rId18">
        <w:r>
          <w:rPr>
            <w:color w:val="000000"/>
            <w:u w:val="single"/>
            <w:sz w:val="19"/>
          </w:rPr>
          <w:t xml:space="preserve">https://hl7.org/fhir/R5/diagnosticreport.html</w:t>
        </w:r>
      </w:hyperlink>
      <w:bookmarkEnd w:id="61"/>
    </w:p>
    <w:p>
      <w:pPr>
        <w:pStyle w:val="Bibliography"/>
        <w:keepLines/>
      </w:pPr>
      <w:bookmarkStart w:id="62" w:name="source_8"/>
      <w:r>
        <w:t>[8]</w:t>
      </w:r>
      <w:r>
        <w:t xml:space="preserve"> HL7 FHIR R5 5.0.0. ServiceRequest. Предложение, план, назначение и связи с последующими результатами. </w:t>
      </w:r>
      <w:r>
        <w:br/>
      </w:r>
      <w:hyperlink r:id="rId19">
        <w:r>
          <w:rPr>
            <w:color w:val="000000"/>
            <w:u w:val="single"/>
            <w:sz w:val="19"/>
          </w:rPr>
          <w:t xml:space="preserve">https://hl7.org/fhir/R5/servicerequest.html</w:t>
        </w:r>
      </w:hyperlink>
      <w:bookmarkEnd w:id="62"/>
    </w:p>
    <w:p>
      <w:pPr>
        <w:pStyle w:val="Bibliography"/>
        <w:keepLines/>
      </w:pPr>
      <w:bookmarkStart w:id="63" w:name="source_9"/>
      <w:r>
        <w:t>[9]</w:t>
      </w:r>
      <w:r>
        <w:t xml:space="preserve"> DICOM PS3.3 2026d. C.8.8.21 RT Beams Session Record Module. Поля записи лечебного сеанса. </w:t>
      </w:r>
      <w:r>
        <w:br/>
      </w:r>
      <w:hyperlink r:id="rId20">
        <w:r>
          <w:rPr>
            <w:color w:val="000000"/>
            <w:u w:val="single"/>
            <w:sz w:val="19"/>
          </w:rPr>
          <w:t xml:space="preserve">https://dicom.nema.org/medical/dicom/current/output/chtml/part03/sect_c.8.8.21.html</w:t>
        </w:r>
      </w:hyperlink>
      <w:bookmarkEnd w:id="63"/>
    </w:p>
    <w:p>
      <w:pPr>
        <w:pStyle w:val="Bibliography"/>
        <w:keepLines/>
      </w:pPr>
      <w:bookmarkStart w:id="64" w:name="source_10"/>
      <w:r>
        <w:t>[10]</w:t>
      </w:r>
      <w:r>
        <w:t xml:space="preserve"> FDA. Материалы 510(k) K251306, устройство Seg Pro V3. Использовано описание производителя и условий применения; дата подготовки summary — 28 января 2026 года. </w:t>
      </w:r>
      <w:r>
        <w:br/>
      </w:r>
      <w:hyperlink r:id="rId21">
        <w:r>
          <w:rPr>
            <w:color w:val="000000"/>
            <w:u w:val="single"/>
            <w:sz w:val="19"/>
          </w:rPr>
          <w:t xml:space="preserve">https://www.accessdata.fda.gov/cdrh_docs/pdf25/K251306.pdf</w:t>
        </w:r>
      </w:hyperlink>
      <w:bookmarkEnd w:id="64"/>
    </w:p>
    <w:p>
      <w:pPr>
        <w:pStyle w:val="Bibliography"/>
        <w:keepLines/>
      </w:pPr>
      <w:bookmarkStart w:id="65" w:name="source_11"/>
      <w:r>
        <w:t>[11]</w:t>
      </w:r>
      <w:r>
        <w:t xml:space="preserve"> Nikiforov YE, Seethala RR, Tallini G, et al. Исследование пересмотра номенклатуры инкапсулированного фолликулярного варианта папиллярной карциномы щитовидной железы. JAMA Oncology. 2016;2(8):1023–1029. DOI 10.1001/jamaoncol.2016.0386. Использованы описание выборки, результаты и предложение NIFTP. </w:t>
      </w:r>
      <w:r>
        <w:br/>
      </w:r>
      <w:hyperlink r:id="rId22">
        <w:r>
          <w:rPr>
            <w:color w:val="000000"/>
            <w:u w:val="single"/>
            <w:sz w:val="19"/>
          </w:rPr>
          <w:t xml:space="preserve">https://pmc.ncbi.nlm.nih.gov/articles/PMC5539411/</w:t>
        </w:r>
      </w:hyperlink>
      <w:bookmarkEnd w:id="65"/>
    </w:p>
    <w:p>
      <w:pPr>
        <w:pStyle w:val="Bibliography"/>
        <w:keepLines/>
      </w:pPr>
      <w:bookmarkStart w:id="66" w:name="source_12"/>
      <w:r>
        <w:t>[12]</w:t>
      </w:r>
      <w:r>
        <w:t xml:space="preserve"> Nikiforov YE, Baloch ZW, Hodak SP, et al. Публикация о пересмотре диагностических критериев NIFTP. JAMA Oncology. 2018;4(8):1125–1126. DOI 10.1001/jamaoncol.2018.1446. Использованы Discussion и таблица пересмотренных критериев. </w:t>
      </w:r>
      <w:r>
        <w:br/>
      </w:r>
      <w:hyperlink r:id="rId23">
        <w:r>
          <w:rPr>
            <w:color w:val="000000"/>
            <w:u w:val="single"/>
            <w:sz w:val="19"/>
          </w:rPr>
          <w:t xml:space="preserve">https://pmc.ncbi.nlm.nih.gov/articles/PMC6584712/</w:t>
        </w:r>
      </w:hyperlink>
      <w:bookmarkEnd w:id="66"/>
    </w:p>
    <w:p>
      <w:pPr>
        <w:pStyle w:val="Bibliography"/>
        <w:keepLines/>
      </w:pPr>
      <w:bookmarkStart w:id="67" w:name="source_13"/>
      <w:r>
        <w:t>[13]</w:t>
      </w:r>
      <w:r>
        <w:t xml:space="preserve"> American Thyroid Association. NIFTP. Пациентский материал о названии, диагностических условиях и последующем ведении. Различие между приведённым там порогом папилл и публикацией 2018 года сохранено в §10. </w:t>
      </w:r>
      <w:r>
        <w:br/>
      </w:r>
      <w:hyperlink r:id="rId24">
        <w:r>
          <w:rPr>
            <w:color w:val="000000"/>
            <w:u w:val="single"/>
            <w:sz w:val="19"/>
          </w:rPr>
          <w:t xml:space="preserve">https://www.thyroid.org/niftp/</w:t>
        </w:r>
      </w:hyperlink>
      <w:bookmarkEnd w:id="67"/>
    </w:p>
    <w:p>
      <w:pPr>
        <w:pStyle w:val="Bibliography"/>
        <w:keepLines/>
      </w:pPr>
      <w:bookmarkStart w:id="68" w:name="source_14"/>
      <w:r>
        <w:t>[14]</w:t>
      </w:r>
      <w:r>
        <w:t xml:space="preserve"> Nickel B, Barratt A, McGeechan K, et al. Исследование изменения терминологии папиллярного рака щитовидной железы, ответов о лечении и оценок тревоги. JAMA Otolaryngology–Head &amp; Neck Surgery. 2018;144(10):867–874. DOI 10.1001/jamaoto.2018.1272. Использованы Methods, таблицы 2–3 и Treatment Choice. </w:t>
      </w:r>
      <w:r>
        <w:br/>
      </w:r>
      <w:hyperlink r:id="rId25">
        <w:r>
          <w:rPr>
            <w:color w:val="000000"/>
            <w:u w:val="single"/>
            <w:sz w:val="19"/>
          </w:rPr>
          <w:t xml:space="preserve">https://jamanetwork.com/journals/jamaotolaryngology/fullarticle/2697097</w:t>
        </w:r>
      </w:hyperlink>
      <w:bookmarkEnd w:id="68"/>
    </w:p>
    <w:p>
      <w:pPr>
        <w:pStyle w:val="Bibliography"/>
        <w:keepLines/>
      </w:pPr>
      <w:bookmarkStart w:id="69" w:name="source_15"/>
      <w:r>
        <w:t>[15]</w:t>
      </w:r>
      <w:r>
        <w:t xml:space="preserve"> National Cancer Institute. Understanding Cancer Prognosis. Оценка течения и пределы переноса групповой статистики на отдельного человека. </w:t>
      </w:r>
      <w:r>
        <w:br/>
      </w:r>
      <w:hyperlink r:id="rId26">
        <w:r>
          <w:rPr>
            <w:color w:val="000000"/>
            <w:u w:val="single"/>
            <w:sz w:val="19"/>
          </w:rPr>
          <w:t xml:space="preserve">https://www.cancer.gov/about-cancer/diagnosis-staging/prognosis</w:t>
        </w:r>
      </w:hyperlink>
      <w:bookmarkEnd w:id="69"/>
    </w:p>
    <w:p>
      <w:pPr>
        <w:pStyle w:val="Bibliography"/>
        <w:keepLines/>
      </w:pPr>
      <w:bookmarkStart w:id="70" w:name="source_16"/>
      <w:r>
        <w:t>[16]</w:t>
      </w:r>
      <w:r>
        <w:t xml:space="preserve"> National Cancer Institute. Cancer Staging. Системы стадирования и временное отнесение исходной стадии. </w:t>
      </w:r>
      <w:r>
        <w:br/>
      </w:r>
      <w:hyperlink r:id="rId27">
        <w:r>
          <w:rPr>
            <w:color w:val="000000"/>
            <w:u w:val="single"/>
            <w:sz w:val="19"/>
          </w:rPr>
          <w:t xml:space="preserve">https://www.cancer.gov/about-cancer/diagnosis-staging/staging</w:t>
        </w:r>
      </w:hyperlink>
      <w:bookmarkEnd w:id="70"/>
    </w:p>
    <w:p>
      <w:pPr>
        <w:pStyle w:val="Bibliography"/>
        <w:keepLines/>
      </w:pPr>
      <w:bookmarkStart w:id="71" w:name="source_17"/>
      <w:r>
        <w:t>[17]</w:t>
      </w:r>
      <w:r>
        <w:t xml:space="preserve"> JCGM. International Vocabulary of Metrology. VIM, пункт 2.49 Measurement Function. Измерительная функция и вычисление выходного значения из входных значений. </w:t>
      </w:r>
      <w:r>
        <w:br/>
      </w:r>
      <w:hyperlink r:id="rId28">
        <w:r>
          <w:rPr>
            <w:color w:val="000000"/>
            <w:u w:val="single"/>
            <w:sz w:val="19"/>
          </w:rPr>
          <w:t xml:space="preserve">https://jcgm.bipm.org/vim/en/2.49.html</w:t>
        </w:r>
      </w:hyperlink>
      <w:bookmarkEnd w:id="71"/>
    </w:p>
    <w:p>
      <w:pPr>
        <w:pStyle w:val="Heading2"/>
      </w:pPr>
      <w:bookmarkStart w:id="72" w:name="a_7416880ad5756b2171394b8f495f53"/>
      <w:r>
        <w:t>Работы beforeword</w:t>
      </w:r>
      <w:bookmarkEnd w:id="72"/>
    </w:p>
    <w:p>
      <w:pPr>
        <w:pStyle w:val="Bibliography"/>
        <w:keepLines/>
      </w:pPr>
      <w:r>
        <w:t>Для пунктов 18–27 использованы основные русские страницы из сохранённого пакета сайта от 23 сентября 2026 года; публичные адреса указаны как адреса соответствующих работ. Полная идентичность всех текущих страниц сайта сохранённому пакету здесь не заявлена. Пункт 28 прочитан в отдельной сохранённой редакции.</w:t>
      </w:r>
    </w:p>
    <w:p>
      <w:pPr>
        <w:pStyle w:val="Bibliography"/>
        <w:keepLines/>
      </w:pPr>
      <w:bookmarkStart w:id="73" w:name="source_18"/>
      <w:r>
        <w:t>[18]</w:t>
      </w:r>
      <w:r>
        <w:t xml:space="preserve"> Шебетов К. Границы записи: метод порядка источников для проверки письменных атрибуций. beforeword, 2026. </w:t>
      </w:r>
      <w:r>
        <w:br/>
      </w:r>
      <w:hyperlink r:id="rId29">
        <w:r>
          <w:rPr>
            <w:color w:val="000000"/>
            <w:u w:val="single"/>
            <w:sz w:val="19"/>
          </w:rPr>
          <w:t xml:space="preserve">https://beforeword.xyz/research/record-boundaries/</w:t>
        </w:r>
      </w:hyperlink>
      <w:bookmarkEnd w:id="73"/>
    </w:p>
    <w:p>
      <w:pPr>
        <w:pStyle w:val="Bibliography"/>
        <w:keepLines/>
      </w:pPr>
      <w:bookmarkStart w:id="74" w:name="source_19"/>
      <w:r>
        <w:t>[19]</w:t>
      </w:r>
      <w:r>
        <w:t xml:space="preserve"> Шебетов К. «Ты меня понял?»: Что именно предъявляет эта запись. beforeword, 2026. </w:t>
      </w:r>
      <w:r>
        <w:br/>
      </w:r>
      <w:hyperlink r:id="rId30">
        <w:r>
          <w:rPr>
            <w:color w:val="000000"/>
            <w:u w:val="single"/>
            <w:sz w:val="19"/>
          </w:rPr>
          <w:t xml:space="preserve">https://beforeword.xyz/research/understanding/</w:t>
        </w:r>
      </w:hyperlink>
      <w:bookmarkEnd w:id="74"/>
    </w:p>
    <w:p>
      <w:pPr>
        <w:pStyle w:val="Bibliography"/>
        <w:keepLines/>
      </w:pPr>
      <w:bookmarkStart w:id="75" w:name="source_20"/>
      <w:r>
        <w:t>[20]</w:t>
      </w:r>
      <w:r>
        <w:t xml:space="preserve"> Шебетов К. «Вид со стороны» появляется позже: как частной записи приписывают общий статус. beforeword, 2026. </w:t>
      </w:r>
      <w:r>
        <w:br/>
      </w:r>
      <w:hyperlink r:id="rId31">
        <w:r>
          <w:rPr>
            <w:color w:val="000000"/>
            <w:u w:val="single"/>
            <w:sz w:val="19"/>
          </w:rPr>
          <w:t xml:space="preserve">https://beforeword.xyz/research/view-from-outside/</w:t>
        </w:r>
      </w:hyperlink>
      <w:bookmarkEnd w:id="75"/>
    </w:p>
    <w:p>
      <w:pPr>
        <w:pStyle w:val="Bibliography"/>
        <w:keepLines/>
      </w:pPr>
      <w:bookmarkStart w:id="76" w:name="source_21"/>
      <w:r>
        <w:t>[21]</w:t>
      </w:r>
      <w:r>
        <w:t xml:space="preserve"> Шебетов К. Чтение как клетка: конструктивное разделение самовозврата и доказательного допуска. beforeword, 2026. </w:t>
      </w:r>
      <w:r>
        <w:br/>
      </w:r>
      <w:hyperlink r:id="rId32">
        <w:r>
          <w:rPr>
            <w:color w:val="000000"/>
            <w:u w:val="single"/>
            <w:sz w:val="19"/>
          </w:rPr>
          <w:t xml:space="preserve">https://beforeword.xyz/research/reading-as-enclosure/</w:t>
        </w:r>
      </w:hyperlink>
      <w:bookmarkEnd w:id="76"/>
    </w:p>
    <w:p>
      <w:pPr>
        <w:pStyle w:val="Bibliography"/>
        <w:keepLines/>
      </w:pPr>
      <w:bookmarkStart w:id="77" w:name="source_22"/>
      <w:r>
        <w:t>[22]</w:t>
      </w:r>
      <w:r>
        <w:t xml:space="preserve"> Шебетов К. Строка не имеет полномочий: самоприменяемая граница между выходом ИИ и правом действовать. beforeword, 2026. </w:t>
      </w:r>
      <w:r>
        <w:br/>
      </w:r>
      <w:hyperlink r:id="rId33">
        <w:r>
          <w:rPr>
            <w:color w:val="000000"/>
            <w:u w:val="single"/>
            <w:sz w:val="19"/>
          </w:rPr>
          <w:t xml:space="preserve">https://beforeword.xyz/research/no-authority-in-the-output/</w:t>
        </w:r>
      </w:hyperlink>
      <w:bookmarkEnd w:id="77"/>
    </w:p>
    <w:p>
      <w:pPr>
        <w:pStyle w:val="Bibliography"/>
        <w:keepLines/>
      </w:pPr>
      <w:bookmarkStart w:id="78" w:name="source_23"/>
      <w:r>
        <w:t>[23]</w:t>
      </w:r>
      <w:r>
        <w:t xml:space="preserve"> Шебетов К. Оценка не покидает запись. До слова «оценка»: граница между проверкой записи и установлением её значения. beforeword, 2026. </w:t>
      </w:r>
      <w:r>
        <w:br/>
      </w:r>
      <w:hyperlink r:id="rId34">
        <w:r>
          <w:rPr>
            <w:color w:val="000000"/>
            <w:u w:val="single"/>
            <w:sz w:val="19"/>
          </w:rPr>
          <w:t xml:space="preserve">https://beforeword.xyz/research/evaluation/</w:t>
        </w:r>
      </w:hyperlink>
      <w:bookmarkEnd w:id="78"/>
    </w:p>
    <w:p>
      <w:pPr>
        <w:pStyle w:val="Bibliography"/>
        <w:keepLines/>
      </w:pPr>
      <w:bookmarkStart w:id="79" w:name="source_24"/>
      <w:r>
        <w:t>[24]</w:t>
      </w:r>
      <w:r>
        <w:t xml:space="preserve"> Шебетов К. Математическая запись. Серия этапов 0–7. beforeword, исходная публикация 7.2.1, 2026. Названия исходных выпусков и области формальных результатов различаются с публичным чтением заголовков; перенос этих результатов на медицину не заявлен. </w:t>
      </w:r>
      <w:r>
        <w:br/>
      </w:r>
      <w:hyperlink r:id="rId35">
        <w:r>
          <w:rPr>
            <w:color w:val="000000"/>
            <w:u w:val="single"/>
            <w:sz w:val="19"/>
          </w:rPr>
          <w:t xml:space="preserve">https://beforeword.xyz/research/mathematics-phases-0-7/</w:t>
        </w:r>
      </w:hyperlink>
      <w:bookmarkEnd w:id="79"/>
    </w:p>
    <w:p>
      <w:pPr>
        <w:pStyle w:val="Bibliography"/>
        <w:keepLines/>
      </w:pPr>
      <w:bookmarkStart w:id="80" w:name="source_25"/>
      <w:r>
        <w:t>[25]</w:t>
      </w:r>
      <w:r>
        <w:t xml:space="preserve"> Шебетов К. ТОЧКА: Граница предъявленной записи. beforeword, 2026. </w:t>
      </w:r>
      <w:r>
        <w:br/>
      </w:r>
      <w:hyperlink r:id="rId36">
        <w:r>
          <w:rPr>
            <w:color w:val="000000"/>
            <w:u w:val="single"/>
            <w:sz w:val="19"/>
          </w:rPr>
          <w:t xml:space="preserve">https://beforeword.xyz/research/full-stop/</w:t>
        </w:r>
      </w:hyperlink>
      <w:bookmarkEnd w:id="80"/>
    </w:p>
    <w:p>
      <w:pPr>
        <w:pStyle w:val="Bibliography"/>
        <w:keepLines/>
      </w:pPr>
      <w:bookmarkStart w:id="81" w:name="source_26"/>
      <w:r>
        <w:t>[26]</w:t>
      </w:r>
      <w:r>
        <w:t xml:space="preserve"> Шебетов К. Начертание и чтение: Предел письменной фиксации чтения. beforeword, 2026. </w:t>
      </w:r>
      <w:r>
        <w:br/>
      </w:r>
      <w:hyperlink r:id="rId37">
        <w:r>
          <w:rPr>
            <w:color w:val="000000"/>
            <w:u w:val="single"/>
            <w:sz w:val="19"/>
          </w:rPr>
          <w:t xml:space="preserve">https://beforeword.xyz/research/inscription-and-reading/</w:t>
        </w:r>
      </w:hyperlink>
      <w:bookmarkEnd w:id="81"/>
    </w:p>
    <w:p>
      <w:pPr>
        <w:pStyle w:val="Bibliography"/>
        <w:keepLines/>
      </w:pPr>
      <w:bookmarkStart w:id="82" w:name="source_27"/>
      <w:r>
        <w:t>[27]</w:t>
      </w:r>
      <w:r>
        <w:t xml:space="preserve"> Шебетов К. Написанное «я». beforeword, 2026. </w:t>
      </w:r>
      <w:r>
        <w:br/>
      </w:r>
      <w:hyperlink r:id="rId38">
        <w:r>
          <w:rPr>
            <w:color w:val="000000"/>
            <w:u w:val="single"/>
            <w:sz w:val="19"/>
          </w:rPr>
          <w:t xml:space="preserve">https://beforeword.xyz/research/written-i/</w:t>
        </w:r>
      </w:hyperlink>
      <w:bookmarkEnd w:id="82"/>
    </w:p>
    <w:p>
      <w:pPr>
        <w:pStyle w:val="Bibliography"/>
        <w:keepLines/>
      </w:pPr>
      <w:bookmarkStart w:id="83" w:name="source_28"/>
      <w:r>
        <w:t>[28]</w:t>
      </w:r>
      <w:r>
        <w:t xml:space="preserve"> Шебетов К. Текст на месте текста: написание, связка и приписывание статуса. Источниковый разбор Horizon. beforeword, 23 сентября 2026. Основная рукопись сохранённого пакета, §§1–70; файл beforeword/research/beforeword_Research_RU.html. Страница публикации: </w:t>
      </w:r>
      <w:r>
        <w:br/>
      </w:r>
      <w:hyperlink r:id="rId39">
        <w:r>
          <w:rPr>
            <w:color w:val="000000"/>
            <w:u w:val="single"/>
            <w:sz w:val="19"/>
          </w:rPr>
          <w:t xml:space="preserve">https://beforeword.xyz/research/horizon/</w:t>
        </w:r>
      </w:hyperlink>
      <w:bookmarkEnd w:id="83"/>
    </w:p>
    <w:p>
      <w:pPr>
        <w:pStyle w:val="Heading2"/>
      </w:pPr>
      <w:bookmarkStart w:id="84" w:name="a_839bf92ad93d5ab0c174353a7cfcd3"/>
      <w:r>
        <w:t>Опубликованные случаи и пояснения терминов</w:t>
      </w:r>
      <w:bookmarkEnd w:id="84"/>
    </w:p>
    <w:p>
      <w:pPr>
        <w:pStyle w:val="Bibliography"/>
        <w:keepLines/>
      </w:pPr>
      <w:bookmarkStart w:id="85" w:name="source_29"/>
      <w:r>
        <w:t>[29]</w:t>
      </w:r>
      <w:r>
        <w:t xml:space="preserve"> Health and Disability Commissioner. Open disclosure failure following biopsy swap. 12HDC01574. 11 марта 2015. Пункты 19, 23, 28. </w:t>
      </w:r>
      <w:r>
        <w:br/>
      </w:r>
      <w:hyperlink r:id="rId40">
        <w:r>
          <w:rPr>
            <w:color w:val="000000"/>
            <w:u w:val="single"/>
            <w:sz w:val="19"/>
          </w:rPr>
          <w:t xml:space="preserve">https://www.hdc.org.nz/decisions/search-decisions/2015/12hdc01574/</w:t>
        </w:r>
      </w:hyperlink>
      <w:bookmarkEnd w:id="85"/>
    </w:p>
    <w:p>
      <w:pPr>
        <w:pStyle w:val="Bibliography"/>
        <w:keepLines/>
      </w:pPr>
      <w:bookmarkStart w:id="86" w:name="source_30"/>
      <w:r>
        <w:t>[30]</w:t>
      </w:r>
      <w:r>
        <w:t xml:space="preserve"> Kaewpoowat Q, et al. Navigating false positive HIV test results: a case report. ASM Case Reports. 25 марта 2025. DOI 10.1128/asmcr.00097-24. Case Presentation. </w:t>
      </w:r>
      <w:r>
        <w:br/>
      </w:r>
      <w:hyperlink r:id="rId41">
        <w:r>
          <w:rPr>
            <w:color w:val="000000"/>
            <w:u w:val="single"/>
            <w:sz w:val="19"/>
          </w:rPr>
          <w:t xml:space="preserve">https://journals.asm.org/doi/10.1128/asmcr.00097-24</w:t>
        </w:r>
      </w:hyperlink>
      <w:bookmarkEnd w:id="86"/>
    </w:p>
    <w:p>
      <w:pPr>
        <w:pStyle w:val="Bibliography"/>
        <w:keepLines/>
      </w:pPr>
      <w:bookmarkStart w:id="87" w:name="source_31"/>
      <w:r>
        <w:t>[31]</w:t>
      </w:r>
      <w:r>
        <w:t xml:space="preserve"> Martin SA, Kanjilal S, Schiff G. A Postpartum Woman with an Erroneous SARS-CoV-2 Test. AHRQ PSNet. 28 апреля 2021. The Case. </w:t>
      </w:r>
      <w:r>
        <w:br/>
      </w:r>
      <w:hyperlink r:id="rId42">
        <w:r>
          <w:rPr>
            <w:color w:val="000000"/>
            <w:u w:val="single"/>
            <w:sz w:val="19"/>
          </w:rPr>
          <w:t xml:space="preserve">https://psnet.ahrq.gov/web-mm/postpartum-woman-erroneous-sars-cov-2-test</w:t>
        </w:r>
      </w:hyperlink>
      <w:bookmarkEnd w:id="87"/>
    </w:p>
    <w:p>
      <w:pPr>
        <w:pStyle w:val="Bibliography"/>
        <w:keepLines/>
      </w:pPr>
      <w:bookmarkStart w:id="88" w:name="source_32"/>
      <w:r>
        <w:t>[32]</w:t>
      </w:r>
      <w:r>
        <w:t xml:space="preserve"> Health and Disability Commissioner. Failure to provide adequate advocacy and disability support services to two consumers. 22HDC03019 и 23HDC01424. 26 мая 2025. Для Mr A использованы пункты 20, 35, 74–77. </w:t>
      </w:r>
      <w:r>
        <w:br/>
      </w:r>
      <w:hyperlink r:id="rId43">
        <w:r>
          <w:rPr>
            <w:color w:val="000000"/>
            <w:u w:val="single"/>
            <w:sz w:val="19"/>
          </w:rPr>
          <w:t xml:space="preserve">https://www.hdc.org.nz/decisions/search-decisions/2025/22hdc0301923hdc01424/</w:t>
        </w:r>
      </w:hyperlink>
      <w:bookmarkEnd w:id="88"/>
    </w:p>
    <w:p>
      <w:pPr>
        <w:pStyle w:val="Bibliography"/>
        <w:keepLines/>
      </w:pPr>
      <w:bookmarkStart w:id="89" w:name="source_33"/>
      <w:r>
        <w:t>[33]</w:t>
      </w:r>
      <w:r>
        <w:t xml:space="preserve"> Huang HR, Li PQ, Wan YX. Primary intratracheal schwannoma misdiagnosed as severe asthma in an adolescent: A case report. World Journal of Clinical Cases. 2021;9(17):4388–4394. DOI 10.12998/wjcc.v9.i17.4388. Case Presentation; Outcome and Follow-up. </w:t>
      </w:r>
      <w:r>
        <w:br/>
      </w:r>
      <w:hyperlink r:id="rId44">
        <w:r>
          <w:rPr>
            <w:color w:val="000000"/>
            <w:u w:val="single"/>
            <w:sz w:val="19"/>
          </w:rPr>
          <w:t xml:space="preserve">https://www.wjgnet.com/2307-8960/full/v9/i17/4388.htm</w:t>
        </w:r>
      </w:hyperlink>
      <w:bookmarkEnd w:id="89"/>
    </w:p>
    <w:p>
      <w:pPr>
        <w:pStyle w:val="Bibliography"/>
        <w:keepLines/>
      </w:pPr>
      <w:bookmarkStart w:id="90" w:name="source_34"/>
      <w:r>
        <w:t>[34]</w:t>
      </w:r>
      <w:r>
        <w:t xml:space="preserve"> Awadalla TO, Igwe O, Okeafor CU, Attarian HP. Improvement of attention deficit disorder symptoms after treatment of obstructive sleep apnea in an adult: a case report and mini review. Journal of Clinical Sleep Medicine. 2024;20(5):825–827. DOI 10.5664/jcsm.11034. Report of Case; Discussion. </w:t>
      </w:r>
      <w:r>
        <w:br/>
      </w:r>
      <w:hyperlink r:id="rId45">
        <w:r>
          <w:rPr>
            <w:color w:val="000000"/>
            <w:u w:val="single"/>
            <w:sz w:val="19"/>
          </w:rPr>
          <w:t xml:space="preserve">https://pmc.ncbi.nlm.nih.gov/articles/PMC11063700/</w:t>
        </w:r>
      </w:hyperlink>
      <w:bookmarkEnd w:id="90"/>
    </w:p>
    <w:p>
      <w:pPr>
        <w:pStyle w:val="Bibliography"/>
        <w:keepLines/>
      </w:pPr>
      <w:bookmarkStart w:id="91" w:name="source_35"/>
      <w:r>
        <w:t>[35]</w:t>
      </w:r>
      <w:r>
        <w:t xml:space="preserve"> World Health Organization. Naming the coronavirus disease (COVID-19) and the virus that causes it. </w:t>
      </w:r>
      <w:r>
        <w:br/>
      </w:r>
      <w:hyperlink r:id="rId46">
        <w:r>
          <w:rPr>
            <w:color w:val="000000"/>
            <w:u w:val="single"/>
            <w:sz w:val="19"/>
          </w:rPr>
          <w:t xml:space="preserve">https://www.who.int/emergencies/diseases/novel-coronavirus-2019/technical-guidance/naming-the-coronavirus-disease-(covid-2019)-and-the-virus-that-causes-it</w:t>
        </w:r>
      </w:hyperlink>
      <w:bookmarkEnd w:id="91"/>
    </w:p>
    <w:p>
      <w:pPr>
        <w:pStyle w:val="Bibliography"/>
        <w:keepLines/>
      </w:pPr>
      <w:bookmarkStart w:id="92" w:name="source_36"/>
      <w:r>
        <w:t>[36]</w:t>
      </w:r>
      <w:r>
        <w:t xml:space="preserve"> Centers for Disease Control and Prevention. Getting Tested for HIV. Положительный результат теста на ВИЧ и СПИД описаны отдельно. </w:t>
      </w:r>
      <w:r>
        <w:br/>
      </w:r>
      <w:hyperlink r:id="rId47">
        <w:r>
          <w:rPr>
            <w:color w:val="000000"/>
            <w:u w:val="single"/>
            <w:sz w:val="19"/>
          </w:rPr>
          <w:t xml:space="preserve">https://www.cdc.gov/hiv/testing/index.html</w:t>
        </w:r>
      </w:hyperlink>
      <w:bookmarkEnd w:id="92"/>
    </w:p>
    <w:p>
      <w:pPr>
        <w:pStyle w:val="Bibliography"/>
        <w:keepLines/>
      </w:pPr>
      <w:r>
        <w:t>Русские описания статей в пунктах 11, 12 и 14 обозначают предмет публикаций; это не выдаваемые за оригинал переводы их заголовков. Название источника, ссылка и библиографическая запись здесь также написаны. Для проверки пересказа они указывают, к какому материалу обращаться; утверждение затем сопоставляется с этим материалом и приведёнными основаниями.</w:t>
      </w:r>
    </w:p>
    <w:sectPr w:rsidR="00FC693F" w:rsidRPr="0006063C" w:rsidSect="00034616">
      <w:headerReference w:type="default" r:id="rId9"/>
      <w:footerReference w:type="default" r:id="rId10"/>
      <w:footerReference w:type="first" r:id="rId11"/>
      <w:pgSz w:w="12240" w:h="15840"/>
      <w:pgMar w:top="1181" w:right="1368" w:bottom="1152" w:left="1368" w:header="490" w:footer="49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beforeword   /   Диагностическая запись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DejaVu Serif" w:hAnsi="DejaVu Serif" w:eastAsia="DejaVu Serif" w:cs="DejaVu Serif"/>
      <w:b w:val="0"/>
      <w:color w:val="000000"/>
      <w:sz w:val="22"/>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ans" w:hAnsi="DejaVu Sans" w:eastAsia="DejaVu Sans" w:cs="DejaVu Sans"/>
      <w:b w:val="0"/>
      <w:color w:val="000000"/>
      <w:sz w:val="17"/>
      <w:lang w:val="ru-RU"/>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ans" w:hAnsi="DejaVu Sans" w:eastAsia="DejaVu Sans" w:cs="DejaVu Sans"/>
      <w:b w:val="0"/>
      <w:color w:val="000000"/>
      <w:sz w:val="17"/>
      <w:lang w:val="ru-RU"/>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52" w:lineRule="auto"/>
      <w:outlineLvl w:val="0"/>
    </w:pPr>
    <w:rPr>
      <w:rFonts w:asciiTheme="majorHAnsi" w:eastAsiaTheme="majorEastAsia" w:hAnsiTheme="majorHAnsi" w:cstheme="majorBidi" w:ascii="DejaVu Sans" w:hAnsi="DejaVu Sans" w:eastAsia="DejaVu Sans" w:cs="DejaVu Sans"/>
      <w:b/>
      <w:bCs/>
      <w:color w:val="000000"/>
      <w:sz w:val="30"/>
      <w:szCs w:val="28"/>
      <w:lang w:val="ru-RU"/>
    </w:rPr>
  </w:style>
  <w:style w:type="paragraph" w:styleId="Heading2">
    <w:name w:val="heading 2"/>
    <w:basedOn w:val="Normal"/>
    <w:next w:val="Normal"/>
    <w:link w:val="Heading2Char"/>
    <w:uiPriority w:val="9"/>
    <w:unhideWhenUsed/>
    <w:qFormat/>
    <w:rsid w:val="00FC693F"/>
    <w:pPr>
      <w:keepNext/>
      <w:keepLines/>
      <w:spacing w:before="240" w:after="120" w:line="252" w:lineRule="auto"/>
      <w:outlineLvl w:val="1"/>
    </w:pPr>
    <w:rPr>
      <w:rFonts w:asciiTheme="majorHAnsi" w:eastAsiaTheme="majorEastAsia" w:hAnsiTheme="majorHAnsi" w:cstheme="majorBidi" w:ascii="DejaVu Sans" w:hAnsi="DejaVu Sans" w:eastAsia="DejaVu Sans" w:cs="DejaVu Sans"/>
      <w:b/>
      <w:bCs/>
      <w:color w:val="000000"/>
      <w:sz w:val="24"/>
      <w:szCs w:val="26"/>
      <w:lang w:val="ru-RU"/>
    </w:rPr>
  </w:style>
  <w:style w:type="paragraph" w:styleId="Heading3">
    <w:name w:val="heading 3"/>
    <w:basedOn w:val="Normal"/>
    <w:next w:val="Normal"/>
    <w:link w:val="Heading3Char"/>
    <w:uiPriority w:val="9"/>
    <w:unhideWhenUsed/>
    <w:qFormat/>
    <w:rsid w:val="00FC693F"/>
    <w:pPr>
      <w:keepNext/>
      <w:keepLines/>
      <w:spacing w:before="200" w:after="120" w:line="252" w:lineRule="auto"/>
      <w:outlineLvl w:val="2"/>
    </w:pPr>
    <w:rPr>
      <w:rFonts w:asciiTheme="majorHAnsi" w:eastAsiaTheme="majorEastAsia" w:hAnsiTheme="majorHAnsi" w:cstheme="majorBidi" w:ascii="DejaVu Sans" w:hAnsi="DejaVu Sans" w:eastAsia="DejaVu Sans" w:cs="DejaVu Sans"/>
      <w:b/>
      <w:bCs/>
      <w:color w:val="000000"/>
      <w:sz w:val="23"/>
      <w:lang w:val="ru-RU"/>
    </w:rPr>
  </w:style>
  <w:style w:type="paragraph" w:styleId="Heading4">
    <w:name w:val="heading 4"/>
    <w:basedOn w:val="Normal"/>
    <w:next w:val="Normal"/>
    <w:link w:val="Heading4Char"/>
    <w:uiPriority w:val="9"/>
    <w:semiHidden/>
    <w:unhideWhenUsed/>
    <w:qFormat/>
    <w:rsid w:val="00FC693F"/>
    <w:pPr>
      <w:keepNext/>
      <w:keepLines/>
      <w:spacing w:before="200" w:after="120" w:line="252" w:lineRule="auto"/>
      <w:outlineLvl w:val="3"/>
    </w:pPr>
    <w:rPr>
      <w:rFonts w:asciiTheme="majorHAnsi" w:eastAsiaTheme="majorEastAsia" w:hAnsiTheme="majorHAnsi" w:cstheme="majorBidi" w:ascii="DejaVu Sans" w:hAnsi="DejaVu Sans" w:eastAsia="DejaVu Sans" w:cs="DejaVu Sans"/>
      <w:b/>
      <w:bCs/>
      <w:i/>
      <w:iCs/>
      <w:color w:val="000000"/>
      <w:sz w:val="22"/>
      <w:lang w:val="ru-RU"/>
    </w:rPr>
  </w:style>
  <w:style w:type="paragraph" w:styleId="Heading5">
    <w:name w:val="heading 5"/>
    <w:basedOn w:val="Normal"/>
    <w:next w:val="Normal"/>
    <w:link w:val="Heading5Char"/>
    <w:uiPriority w:val="9"/>
    <w:semiHidden/>
    <w:unhideWhenUsed/>
    <w:qFormat/>
    <w:rsid w:val="00FC693F"/>
    <w:pPr>
      <w:keepNext/>
      <w:keepLines/>
      <w:spacing w:before="200" w:after="120" w:line="252" w:lineRule="auto"/>
      <w:outlineLvl w:val="4"/>
    </w:pPr>
    <w:rPr>
      <w:rFonts w:asciiTheme="majorHAnsi" w:eastAsiaTheme="majorEastAsia" w:hAnsiTheme="majorHAnsi" w:cstheme="majorBidi" w:ascii="DejaVu Sans" w:hAnsi="DejaVu Sans" w:eastAsia="DejaVu Sans" w:cs="DejaVu Sans"/>
      <w:b/>
      <w:color w:val="000000"/>
      <w:sz w:val="22"/>
      <w:lang w:val="ru-RU"/>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DejaVu Serif" w:hAnsi="DejaVu Serif" w:eastAsia="DejaVu Serif" w:cs="DejaVu Serif"/>
      <w:b w:val="0"/>
      <w:color w:val="000000"/>
      <w:spacing w:val="5"/>
      <w:kern w:val="28"/>
      <w:sz w:val="50"/>
      <w:szCs w:val="52"/>
      <w:lang w:val="ru-RU"/>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ascii="DejaVu Sans" w:hAnsi="DejaVu Sans" w:eastAsia="DejaVu Sans" w:cs="DejaVu Sans"/>
      <w:b w:val="0"/>
      <w:i/>
      <w:iCs/>
      <w:color w:val="000000"/>
      <w:spacing w:val="15"/>
      <w:sz w:val="22"/>
      <w:szCs w:val="24"/>
      <w:lang w:val="ru-RU"/>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Body">
    <w:name w:val="Table Body"/>
    <w:pPr>
      <w:spacing w:before="0" w:after="0" w:line="254" w:lineRule="auto"/>
    </w:pPr>
    <w:rPr>
      <w:rFonts w:ascii="DejaVu Sans" w:hAnsi="DejaVu Sans" w:eastAsia="DejaVu Sans" w:cs="DejaVu Sans"/>
      <w:b w:val="0"/>
      <w:color w:val="000000"/>
      <w:sz w:val="20"/>
      <w:lang w:val="ru-RU"/>
    </w:rPr>
  </w:style>
  <w:style w:type="paragraph" w:customStyle="1" w:styleId="TableHeader">
    <w:name w:val="Table Header"/>
    <w:pPr>
      <w:spacing w:before="0" w:after="0" w:line="254" w:lineRule="auto"/>
    </w:pPr>
    <w:rPr>
      <w:rFonts w:ascii="DejaVu Sans" w:hAnsi="DejaVu Sans" w:eastAsia="DejaVu Sans" w:cs="DejaVu Sans"/>
      <w:b/>
      <w:color w:val="000000"/>
      <w:sz w:val="20"/>
      <w:lang w:val="ru-RU"/>
    </w:rPr>
  </w:style>
  <w:style w:type="paragraph" w:customStyle="1" w:styleId="Bibliography">
    <w:name w:val="Bibliography"/>
    <w:pPr>
      <w:spacing w:after="160" w:line="259" w:lineRule="auto"/>
    </w:pPr>
    <w:rPr>
      <w:rFonts w:ascii="DejaVu Serif" w:hAnsi="DejaVu Serif" w:eastAsia="DejaVu Serif" w:cs="DejaVu Serif"/>
      <w:b w:val="0"/>
      <w:color w:val="000000"/>
      <w:sz w:val="20"/>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ancer.gov/about-cancer/diagnosis-staging/diagnosis" TargetMode="External"/><Relationship Id="rId13" Type="http://schemas.openxmlformats.org/officeDocument/2006/relationships/hyperlink" Target="https://www.cancer.gov/about-cancer/diagnosis-staging/diagnosis/pathology-reports-fact-sheet" TargetMode="External"/><Relationship Id="rId14" Type="http://schemas.openxmlformats.org/officeDocument/2006/relationships/hyperlink" Target="https://dicom.nema.org/medical/dicom/current/output/chtml/part03/sect_C.7.6.3.html" TargetMode="External"/><Relationship Id="rId15" Type="http://schemas.openxmlformats.org/officeDocument/2006/relationships/hyperlink" Target="https://dicom.nema.org/medical/dicom/current/output/chtml/part03/sect_C.17.3.3.html" TargetMode="External"/><Relationship Id="rId16" Type="http://schemas.openxmlformats.org/officeDocument/2006/relationships/hyperlink" Target="https://dicom.nema.org/medical/dicom/current/output/chtml/part03/sect_C.18.html" TargetMode="External"/><Relationship Id="rId17" Type="http://schemas.openxmlformats.org/officeDocument/2006/relationships/hyperlink" Target="https://hl7.org/fhir/R5/observation.html" TargetMode="External"/><Relationship Id="rId18" Type="http://schemas.openxmlformats.org/officeDocument/2006/relationships/hyperlink" Target="https://hl7.org/fhir/R5/diagnosticreport.html" TargetMode="External"/><Relationship Id="rId19" Type="http://schemas.openxmlformats.org/officeDocument/2006/relationships/hyperlink" Target="https://hl7.org/fhir/R5/servicerequest.html" TargetMode="External"/><Relationship Id="rId20" Type="http://schemas.openxmlformats.org/officeDocument/2006/relationships/hyperlink" Target="https://dicom.nema.org/medical/dicom/current/output/chtml/part03/sect_c.8.8.21.html" TargetMode="External"/><Relationship Id="rId21" Type="http://schemas.openxmlformats.org/officeDocument/2006/relationships/hyperlink" Target="https://www.accessdata.fda.gov/cdrh_docs/pdf25/K251306.pdf" TargetMode="External"/><Relationship Id="rId22" Type="http://schemas.openxmlformats.org/officeDocument/2006/relationships/hyperlink" Target="https://pmc.ncbi.nlm.nih.gov/articles/PMC5539411/" TargetMode="External"/><Relationship Id="rId23" Type="http://schemas.openxmlformats.org/officeDocument/2006/relationships/hyperlink" Target="https://pmc.ncbi.nlm.nih.gov/articles/PMC6584712/" TargetMode="External"/><Relationship Id="rId24" Type="http://schemas.openxmlformats.org/officeDocument/2006/relationships/hyperlink" Target="https://www.thyroid.org/niftp/" TargetMode="External"/><Relationship Id="rId25" Type="http://schemas.openxmlformats.org/officeDocument/2006/relationships/hyperlink" Target="https://jamanetwork.com/journals/jamaotolaryngology/fullarticle/2697097" TargetMode="External"/><Relationship Id="rId26" Type="http://schemas.openxmlformats.org/officeDocument/2006/relationships/hyperlink" Target="https://www.cancer.gov/about-cancer/diagnosis-staging/prognosis" TargetMode="External"/><Relationship Id="rId27" Type="http://schemas.openxmlformats.org/officeDocument/2006/relationships/hyperlink" Target="https://www.cancer.gov/about-cancer/diagnosis-staging/staging" TargetMode="External"/><Relationship Id="rId28" Type="http://schemas.openxmlformats.org/officeDocument/2006/relationships/hyperlink" Target="https://jcgm.bipm.org/vim/en/2.49.html" TargetMode="External"/><Relationship Id="rId29" Type="http://schemas.openxmlformats.org/officeDocument/2006/relationships/hyperlink" Target="https://beforeword.xyz/research/record-boundaries/" TargetMode="External"/><Relationship Id="rId30" Type="http://schemas.openxmlformats.org/officeDocument/2006/relationships/hyperlink" Target="https://beforeword.xyz/research/understanding/" TargetMode="External"/><Relationship Id="rId31" Type="http://schemas.openxmlformats.org/officeDocument/2006/relationships/hyperlink" Target="https://beforeword.xyz/research/view-from-outside/" TargetMode="External"/><Relationship Id="rId32" Type="http://schemas.openxmlformats.org/officeDocument/2006/relationships/hyperlink" Target="https://beforeword.xyz/research/reading-as-enclosure/" TargetMode="External"/><Relationship Id="rId33" Type="http://schemas.openxmlformats.org/officeDocument/2006/relationships/hyperlink" Target="https://beforeword.xyz/research/no-authority-in-the-output/" TargetMode="External"/><Relationship Id="rId34" Type="http://schemas.openxmlformats.org/officeDocument/2006/relationships/hyperlink" Target="https://beforeword.xyz/research/evaluation/" TargetMode="External"/><Relationship Id="rId35" Type="http://schemas.openxmlformats.org/officeDocument/2006/relationships/hyperlink" Target="https://beforeword.xyz/research/mathematics-phases-0-7/" TargetMode="External"/><Relationship Id="rId36" Type="http://schemas.openxmlformats.org/officeDocument/2006/relationships/hyperlink" Target="https://beforeword.xyz/research/full-stop/" TargetMode="External"/><Relationship Id="rId37" Type="http://schemas.openxmlformats.org/officeDocument/2006/relationships/hyperlink" Target="https://beforeword.xyz/research/inscription-and-reading/" TargetMode="External"/><Relationship Id="rId38" Type="http://schemas.openxmlformats.org/officeDocument/2006/relationships/hyperlink" Target="https://beforeword.xyz/research/written-i/" TargetMode="External"/><Relationship Id="rId39" Type="http://schemas.openxmlformats.org/officeDocument/2006/relationships/hyperlink" Target="https://beforeword.xyz/research/horizon/" TargetMode="External"/><Relationship Id="rId40" Type="http://schemas.openxmlformats.org/officeDocument/2006/relationships/hyperlink" Target="https://www.hdc.org.nz/decisions/search-decisions/2015/12hdc01574/" TargetMode="External"/><Relationship Id="rId41" Type="http://schemas.openxmlformats.org/officeDocument/2006/relationships/hyperlink" Target="https://journals.asm.org/doi/10.1128/asmcr.00097-24" TargetMode="External"/><Relationship Id="rId42" Type="http://schemas.openxmlformats.org/officeDocument/2006/relationships/hyperlink" Target="https://psnet.ahrq.gov/web-mm/postpartum-woman-erroneous-sars-cov-2-test" TargetMode="External"/><Relationship Id="rId43" Type="http://schemas.openxmlformats.org/officeDocument/2006/relationships/hyperlink" Target="https://www.hdc.org.nz/decisions/search-decisions/2025/22hdc0301923hdc01424/" TargetMode="External"/><Relationship Id="rId44" Type="http://schemas.openxmlformats.org/officeDocument/2006/relationships/hyperlink" Target="https://www.wjgnet.com/2307-8960/full/v9/i17/4388.htm" TargetMode="External"/><Relationship Id="rId45" Type="http://schemas.openxmlformats.org/officeDocument/2006/relationships/hyperlink" Target="https://pmc.ncbi.nlm.nih.gov/articles/PMC11063700/" TargetMode="External"/><Relationship Id="rId46" Type="http://schemas.openxmlformats.org/officeDocument/2006/relationships/hyperlink" Target="https://www.who.int/emergencies/diseases/novel-coronavirus-2019/technical-guidance/naming-the-coronavirus-disease-(covid-2019)-and-the-virus-that-causes-it" TargetMode="External"/><Relationship Id="rId47" Type="http://schemas.openxmlformats.org/officeDocument/2006/relationships/hyperlink" Target="https://www.cdc.gov/hiv/testing/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Диагностическая запись и решения о человеке</dc:title>
  <dc:subject>Исследование beforeword</dc:subject>
  <dc:creator>Кирилл Шебетов</dc:creator>
  <cp:keywords>beforeword, diagnostic record, interpretation, HDC, DICOM</cp:keywords>
  <dc:description/>
  <cp:lastModifiedBy/>
  <cp:revision>1</cp:revision>
  <dcterms:created xsi:type="dcterms:W3CDTF">2013-12-23T23:15:00Z</dcterms:created>
  <dcterms:modified xsi:type="dcterms:W3CDTF">2013-12-23T23:15:00Z</dcterms:modified>
  <cp:category/>
  <dc:language>ru-RU</dc:language>
</cp:coreProperties>
</file>