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ТОЧКА</w:t>
      </w:r>
    </w:p>
    <w:p>
      <w:pPr>
        <w:pStyle w:val="Kicker"/>
      </w:pPr>
      <w:r>
        <w:t>ГРАНИЦА ПРЕДЪЯВЛЕННОЙ ЗАПИСИ</w:t>
      </w:r>
    </w:p>
    <w:p>
      <w:pPr/>
      <w:r>
        <w:t>Самоприменяемая граница между фиксированной письменной формой, возникновением следующего чтения и последующим объяснением перехода</w:t>
      </w:r>
    </w:p>
    <w:p>
      <w:pPr>
        <w:pStyle w:val="Small"/>
      </w:pPr>
      <w:r>
        <w:t>Кирилл Шебетов · Первая публикация: 6 сентября 2026</w:t>
        <w:br/>
        <w:t>Редакция: 9 сентября 2026</w:t>
      </w:r>
    </w:p>
    <w:p/>
    <w:p>
      <w:pPr>
        <w:pStyle w:val="Heading1"/>
      </w:pPr>
      <w:r>
        <w:t>АННОТАЦИЯ</w:t>
      </w:r>
    </w:p>
    <w:p>
      <w:r>
        <w:t>Работа изолирует узкую операционную границу письменной записи. Для зафиксированной первой записи и последующей записи она спрашивает только, какой письменный материал был буквально предъявлен до появления второй. Если сначала предъявлено «дыхание», а позже «дыхание продолжается», слово «продолжается» не засчитывается как часть первой записи только потому, что было позднее прочитано или написано.</w:t>
      </w:r>
    </w:p>
    <w:p>
      <w:r>
        <w:t>Этот разрез не устанавливает референт, значение, сознание, тело, мир или происходящее и не делает утверждений о популяции. Любое объяснение — включая «значение», «мозг», «наука доказала», число или формулу — входит как следующая запись и получает тот же разрез. Научная литература используется для устройства инструкции и для ограничения соседних утверждений, но не как внешний судья центральной границы.</w:t>
      </w:r>
      <w:r>
        <w:t xml:space="preserve"> Граница относится к любому предъявленному слову или символу, включая запись обоснованного вывода: обоснованность не превращает написанное в названное.</w:t>
      </w:r>
    </w:p>
    <w:p>
      <w:pPr/>
      <w:r>
        <w:t>Заявляемая новизна относится не к общей мысли «слово не вещь», не к дейксису первого лица, не к индексальной зависимости и не к уже известным различиям между сказанным, подразумеваемым и выводимым. Она относится к полной операционной сборке: фиксированная запись → возникший поздний материал чтения → проверка его буквального наличия в первой записи → повторный разрез любого объяснения перехода → отсутствие привилегированного последнего арбитра. Обнаружение более ранней работы с этой же полной конфигурацией снимает или сужает заявку. Минимальный разрез использует «я»; рекурсивный разрез названия и названного — «любовь» → «чувство»; главный переходный проход удерживает «меня» неизменным при разных предъявленных позициях говорящего; нейтральный контроль использует «ключ». В проходе «меня» не заявляется изменение языкового значения местоимения: если читатель относит ту же форму к разным предъявленным лицам, имена этих лиц не написаны внутри «меня». Совместное изменение предшествующей записи и последующего чтения ещё не устанавливает причину перехода.</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rFonts w:ascii="Liberation Sans" w:hAnsi="Liberation Sans"/>
                <w:b/>
                <w:sz w:val="22"/>
              </w:rPr>
              <w:t>ПОСЛЕДНЕЕ СЛОВО ТОЖЕ СЛОВО.</w:t>
            </w:r>
          </w:p>
        </w:tc>
      </w:tr>
    </w:tbl>
    <w:p>
      <w:pPr>
        <w:pStyle w:val="Heading1"/>
      </w:pPr>
      <w:r>
        <w:t>1. ОБЪЕКТ РАБОТЫ</w:t>
      </w:r>
    </w:p>
    <w:p>
      <w:r>
        <w:t>Объект здесь намеренно меньше любой теории языка: две зафиксированные письменные формы и порядок их предъявления. «Запись» — рабочее слово для области бумаги, экрана или сохранённого файла, которую можно предъявить повторно. Оно не объявляется сущностью и не получает иммунитета от собственного правила.</w:t>
      </w:r>
    </w:p>
    <w:p>
      <w:r>
        <w:t>Работа не спрашивает сначала, что запись «означает». Она отделяет буквальный материал первой формы от материала, который появляется только в последующем чтении, ответе или объяснении. Если для ответа требуется написать ещё одно слово, это слово входит уже как следующий предъявленный материал.</w:t>
      </w:r>
    </w:p>
    <w:p>
      <w:pPr>
        <w:pStyle w:val="Heading1"/>
      </w:pPr>
      <w:r>
        <w:t>2. СТАТУС ЦЕНТРАЛЬНОГО РАЗРЕЗА</w:t>
      </w:r>
    </w:p>
    <w:p>
      <w:r>
        <w:t>Центральный разрез не предъявляется как статистическое предсказание о людях и не требует мировоззренческой или дисциплинарной рамки. Это правило учёта содержимого фиксированной записи: поздний письменный материал не считается буквально предъявленным в более ранней записи только потому, что был из неё позднее прочитан.</w:t>
      </w:r>
    </w:p>
    <w:p>
      <w:r>
        <w:t>Проверяемым остаётся каждое конкретное применение. Оно не проходит, если материал, названный «поздним», уже буквально присутствует в сохранённой первой записи; если порядок предъявления не зафиксирован; если первая запись была изменена так, что границу нельзя восстановить; либо если процедура сама выдаёт позднее описание за названный объект или событие. Это локальные условия проигрыша применения, а не попытка превратить разрез в эксперимент о мире.</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rFonts w:ascii="Liberation Sans" w:hAnsi="Liberation Sans"/>
                <w:b/>
                <w:sz w:val="22"/>
              </w:rPr>
              <w:t>ПРОЧИТАТЬ СЛЕДУЮЩЕЕ ИЗ ПЕРВОГО — НЕ ЗНАЧИТ ПОКАЗАТЬ СЛЕДУЮЩЕЕ ВНУТРИ ПЕРВОГО.</w:t>
            </w:r>
          </w:p>
        </w:tc>
      </w:tr>
    </w:tbl>
    <w:p>
      <w:pPr>
        <w:pStyle w:val="Heading1"/>
      </w:pPr>
      <w:r>
        <w:t>3. ПЕРВИЧНЫЙ РАЗРЕЗ</w:t>
      </w:r>
    </w:p>
    <w:p>
      <w:pPr>
        <w:pStyle w:val="ListNumber"/>
      </w:pPr>
      <w:r>
        <w:t>Предъявить одну короткую запись на отдельной карточке, странице или экране.</w:t>
      </w:r>
    </w:p>
    <w:p>
      <w:pPr>
        <w:pStyle w:val="ListNumber"/>
      </w:pPr>
      <w:r>
        <w:t>Указать на место, где она видна. Не просить сначала дать определение.</w:t>
      </w:r>
    </w:p>
    <w:p>
      <w:pPr>
        <w:pStyle w:val="ListNumber"/>
      </w:pPr>
      <w:r>
        <w:t>Позволить чтению произойти. Не пытаться «выключить смысл».</w:t>
      </w:r>
    </w:p>
    <w:p>
      <w:pPr>
        <w:pStyle w:val="ListNumber"/>
      </w:pPr>
      <w:r>
        <w:t>Если появляется слово, фраза или объяснение, при желании записать его отдельно только после появления. Если ничего не появляется — не делать вывода.</w:t>
      </w:r>
    </w:p>
    <w:p>
      <w:pPr>
        <w:pStyle w:val="ListNumber"/>
      </w:pPr>
      <w:r>
        <w:t>Положить первую и позднюю записи рядом. Не спрашивать, какая из них «истиннее».</w:t>
      </w:r>
    </w:p>
    <w:p>
      <w:pPr>
        <w:pStyle w:val="ListNumber"/>
      </w:pPr>
      <w:r>
        <w:t>Спросить только: где именно поздний письменный материал был предъявлен в первой записи до появления поздней?</w:t>
      </w:r>
    </w:p>
    <w:p>
      <w:pPr>
        <w:pStyle w:val="ListNumber"/>
      </w:pPr>
      <w:r>
        <w:t>Любое объяснение ответа сделать новым входом того же разреза.</w:t>
      </w:r>
    </w:p>
    <w:p>
      <w:pPr/>
      <w:r>
        <w:t>Здесь различаются три вопроса: что буквально предъявлено в первой записи; как прочитанное было затем записано отдельно; какое отношение к названному приписано этому прочтению. Записанный ответ не приравнивается к исчерпывающему отчёту о чтении. Сравнение букв устанавливает только состав записей: оно не решает, обоснована ли приписанная связь, и не отменяет возможного контекстного основания.</w:t>
      </w:r>
    </w:p>
    <w:p>
      <w:pPr/>
      <w:r>
        <w:t xml:space="preserve">Последовательный проход онлайн: </w:t>
      </w:r>
      <w:hyperlink r:id="rId11">
        <w:r>
          <w:rPr>
            <w:color w:val="000000"/>
            <w:u w:val="single"/>
          </w:rPr>
          <w:t>https://beforeword.xyz/research/full-stop/check/</w:t>
        </w:r>
      </w:hyperlink>
      <w:r>
        <w:t xml:space="preserve"> . Он открывает предъявления по шагам и допускает отсутствие ответа. PDF самопроверки служит инструкцией для предъявления отдельных карточек. Примеры и объяснения в этой статье предназначены для разбора процедуры. Ни онлайн-проход, ни инструкция PDF не являются самостоятельным экспериментальным доказательством или исследованием общественного эффекта.</w:t>
      </w:r>
    </w:p>
    <w:p>
      <w:pPr>
        <w:pStyle w:val="Heading1"/>
      </w:pPr>
      <w:r>
        <w:t>4. КЛЮЧЕВЫЕ ПРОХОДЫ</w:t>
      </w:r>
    </w:p>
    <w:p>
      <w:pPr>
        <w:pStyle w:val="Heading2"/>
      </w:pPr>
      <w:r>
        <w:t>Минимальный разрез: «я»</w:t>
      </w:r>
    </w:p>
    <w:p>
      <w:pPr>
        <w:pStyle w:val="Stimulus"/>
        <w:spacing w:before="160" w:after="160" w:line="264" w:lineRule="auto"/>
      </w:pPr>
      <w:r>
        <w:t>я</w:t>
      </w:r>
    </w:p>
    <w:p>
      <w:r>
        <w:t>Сначала смотреть только на предъявленную запись. В ней написано «я». Слово «человек» в самой записи не написано. Это устанавливает только буквальный состав: отсутствие другого написания не устанавливает отсутствия значения, референции или контекстного основания для отнесения. Оно также не устанавливает существования или отсутствия человека.</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rFonts w:ascii="Liberation Sans" w:hAnsi="Liberation Sans"/>
                <w:b/>
                <w:sz w:val="22"/>
              </w:rPr>
              <w:t>ГДЕ В ТЕЛЕ НАХОДИТСЯ ИМЕННО ЭТА НАПИСАННАЯ ФОРМА?</w:t>
              <w:br/>
              <w:t>А ГДЕ — ТО, ЧТО ПОЯВИЛОСЬ ПРИ ЕЁ ЧТЕНИИ?</w:t>
            </w:r>
          </w:p>
        </w:tc>
      </w:tr>
    </w:tbl>
    <w:p>
      <w:r>
        <w:t>Если при чтении появляются «человек», «себя», «говорящий», «сознание», «значение» или «мозг», каждое продолжение сохраняется отдельно как следующий письменный материал. Сам вопрос «где человек?» тоже является следующей записью и не получает иммунитета.</w:t>
      </w:r>
    </w:p>
    <w:p>
      <w:pPr>
        <w:pStyle w:val="Heading2"/>
      </w:pPr>
      <w:r>
        <w:t>«любовь» → «чувство»: название и названное</w:t>
      </w:r>
    </w:p>
    <w:p>
      <w:pPr>
        <w:pStyle w:val="Stimulus"/>
        <w:spacing w:before="160" w:after="160" w:line="264" w:lineRule="auto"/>
      </w:pPr>
      <w:r>
        <w:t>любовь</w:t>
      </w:r>
    </w:p>
    <w:p>
      <w:pPr/>
      <w:r>
        <w:t>Сначала предъявить «любовь» отдельно, без вопроса о значении и без следующего слова. Если возникает ответ и читатель решает его записать, сохранить его отдельно. Лишь после этого сопоставить написанную форму, записанное прочтение и утверждение о том, к чему оно отнесено. «Чувство» ниже — следующий пример для разбора, а не требуемый ответ первого прохода.</w:t>
      </w:r>
    </w:p>
    <w:p>
      <w:pPr>
        <w:pStyle w:val="Stimulus"/>
        <w:spacing w:before="160" w:after="160" w:line="264" w:lineRule="auto"/>
      </w:pPr>
      <w:r>
        <w:t>чувство</w:t>
      </w:r>
    </w:p>
    <w:p>
      <w:pPr/>
      <w:r>
        <w:t>В следующем разборе отдельно предъявить «чувство» и сохранить ответ, если он записывается. Название и названное рассматриваются раздельно: появление названия само по себе не устанавливает ни наличия, ни отсутствия названного. Отсутствие слова «чувство» в записи «любовь» устанавливает только различие буквального состава; оно не устанавливает отсутствия чувства при чтении. Если затем записаны «переживание», «тело», «мозг», «гормоны» или «состояние», каждое продолжение сохраняется отдельно. Обоснованность отнесения и наличие названного требуют отдельного рассмотрения.</w:t>
      </w:r>
    </w:p>
    <w:p>
      <w:pPr>
        <w:pStyle w:val="Heading2"/>
      </w:pPr>
      <w:r>
        <w:t>«дыхание»</w:t>
      </w:r>
    </w:p>
    <w:p>
      <w:pPr>
        <w:pStyle w:val="Stimulus"/>
        <w:spacing w:before="160" w:after="160" w:line="264" w:lineRule="auto"/>
      </w:pPr>
      <w:r>
        <w:t>дыхание</w:t>
      </w:r>
    </w:p>
    <w:p>
      <w:r>
        <w:t>Если позже появляется «дыхание продолжается», работа не делает эту фразу дыханием и не использует её как свидетельство происходящего. Она фиксирует только границу записи: «продолжается» не было написано в первом предъявлении.</w:t>
      </w:r>
    </w:p>
    <w:p>
      <w:pPr>
        <w:pStyle w:val="Heading2"/>
      </w:pPr>
      <w:r>
        <w:t>«думать», «мышление», «интеллект», «сознание»</w:t>
      </w:r>
    </w:p>
    <w:p>
      <w:pPr>
        <w:pStyle w:val="Stimulus"/>
        <w:spacing w:before="160" w:after="160" w:line="264" w:lineRule="auto"/>
      </w:pPr>
      <w:r>
        <w:t>д у м а т ь</w:t>
      </w:r>
    </w:p>
    <w:p>
      <w:r>
        <w:t>Какая из предъявленных форм начала выполнять действие, прочитанное как «думать»? Ответы «мозг», «нейроны», «процесс» или «репрезентация» не запрещаются и не получают последнего слова: это новые записи.</w:t>
      </w:r>
    </w:p>
    <w:p>
      <w:pPr>
        <w:pStyle w:val="Heading2"/>
      </w:pPr>
      <w:r>
        <w:t>Математическая запись</w:t>
      </w:r>
    </w:p>
    <w:p>
      <w:pPr>
        <w:pStyle w:val="Stimulus"/>
        <w:spacing w:before="160" w:after="160" w:line="264" w:lineRule="auto"/>
      </w:pPr>
      <w:r>
        <w:t>я    я    я    я    я</w:t>
      </w:r>
    </w:p>
    <w:p>
      <w:r>
        <w:t>Не переводить эту поверхность в цифру для проверки центрального различения. «пять», «число», «счёт», знак «5» и формула — новые формы записи. Они могут использоваться в отдельной технической задаче; здесь они не становятся судьёй исходного предъявления.</w:t>
      </w:r>
    </w:p>
    <w:p>
      <w:pPr>
        <w:pStyle w:val="Heading1"/>
      </w:pPr>
      <w:r>
        <w:t>5. ПРОВЕРОЧНЫЙ ПРОХОД: ПОЗДНЕЕ СОДЕРЖАНИЕ МОЖЕТ СЛЕДОВАТЬ ИЗ ИСХОДНОЙ ЗАПИСИ</w:t>
      </w:r>
    </w:p>
    <w:p>
      <w:pPr/>
      <w:r>
        <w:t>Пресуппозиция и импликатура здесь не предъявляются как открытие ТОЧКИ. Различение между тем, что сказано, и тем, что выводится, давно разработано в исследованиях языка. [17–19] Эти случаи нужны как проверочный проход: отсутствие буквальной записи не означает, что позднее содержание ошибочно или случайно. Процедура должна удержать более узкую границу — позднее содержание может следовать из источника, не становясь буквальной частью источника.</w:t>
      </w:r>
    </w:p>
    <w:p>
      <w:pPr>
        <w:pStyle w:val="Heading2"/>
      </w:pPr>
      <w:r>
        <w:t>Пресуппозиция</w:t>
      </w:r>
    </w:p>
    <w:p>
      <w:pPr>
        <w:pStyle w:val="Stimulus"/>
        <w:spacing w:before="160" w:after="160" w:line="264" w:lineRule="auto"/>
      </w:pPr>
      <w:r>
        <w:t>Иван перестал курить.</w:t>
      </w:r>
    </w:p>
    <w:p>
      <w:pPr/>
      <w:r>
        <w:t>Обычное чтение лицензирует фоновое содержание «Иван раньше курил»: глаголы изменения состояния типа «перестать» являются стандартными триггерами пресуппозиции, а соответствующее содержание восстанавливается читателями как часть интерпретации. [13] ТОЧКА не отрицает эту пресуппозицию и не объявляет её ложной. Она спрашивает только: была ли поздняя запись «Иван раньше курил» буквально предъявлена в первой строке?</w:t>
      </w:r>
    </w:p>
    <w:p>
      <w:pPr>
        <w:pStyle w:val="Stimulus"/>
        <w:spacing w:before="160" w:after="160" w:line="264" w:lineRule="auto"/>
      </w:pPr>
      <w:r>
        <w:t>Иван раньше курил.</w:t>
      </w:r>
    </w:p>
    <w:p>
      <w:pPr/>
      <w:r>
        <w:t>Если ответом становится «это подразумевалось», новым предъявленным материалом становится «подразумевалось». Разрез не спорит с пресуппозицией; он не переписывает её назад как буквальный материал источника.</w:t>
      </w:r>
    </w:p>
    <w:p>
      <w:pPr>
        <w:pStyle w:val="Heading2"/>
      </w:pPr>
      <w:r>
        <w:t>Скалярная импликатура</w:t>
      </w:r>
    </w:p>
    <w:p>
      <w:pPr>
        <w:pStyle w:val="Stimulus"/>
        <w:spacing w:before="160" w:after="160" w:line="264" w:lineRule="auto"/>
      </w:pPr>
      <w:r>
        <w:t>Некоторые заявки одобрены.</w:t>
      </w:r>
    </w:p>
    <w:p>
      <w:pPr/>
      <w:r>
        <w:t>В подходящем контексте «некоторые» часто ведёт к чтению «не все», но сила такого вывода меняется с контекстом; это хорошо документировано в исследованиях скалярной импликатуры. [14] Поэтому позднее «не все заявки одобрены» может быть прагматически обоснованным продолжением, не будучи буквальным материалом первой записи.</w:t>
      </w:r>
    </w:p>
    <w:p>
      <w:pPr>
        <w:pStyle w:val="Stimulus"/>
        <w:spacing w:before="160" w:after="160" w:line="264" w:lineRule="auto"/>
      </w:pPr>
      <w:r>
        <w:t>Не все заявки одобрены.</w:t>
      </w:r>
    </w:p>
    <w:p>
      <w:pPr/>
      <w:r>
        <w:t>Этот проход подтверждает только способность процедуры не смешивать буквальный материал и вывод. Само различение не уникально для ТОЧКИ; ближайшие предшествующие конструкции указаны ниже.</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b/>
                <w:sz w:val="22"/>
              </w:rPr>
              <w:t>ПОЗДНЕЕ СОДЕРЖАНИЕ МОЖЕТ СЛЕДОВАТЬ ИЗ ИСХОДНОЙ ЗАПИСИ. ЭТО НЕ ДЕЛАЕТ ЕГО БУКВАЛЬНО НАПИСАННЫМ В НЕЙ.</w:t>
            </w:r>
          </w:p>
        </w:tc>
      </w:tr>
    </w:tbl>
    <w:p>
      <w:pPr>
        <w:pStyle w:val="Heading2"/>
        <w:keepNext/>
      </w:pPr>
      <w:r>
        <w:t>5.1. Вывод тоже запись</w:t>
      </w:r>
    </w:p>
    <w:p>
      <w:pPr>
        <w:widowControl/>
      </w:pPr>
      <w:r>
        <w:t>Буквы, сложенные в слова, не становятся тем, что называют. Граница относится к каждой предъявленной письменной форме: к слову, числу, символу, определению, правилу и выводу. «Значение», «референция», «доказательство», «проверка» и «происходящее» не получают исключения. Их написание само по себе не предъявляет названное отношение, действие или событие.</w:t>
      </w:r>
    </w:p>
    <w:p>
      <w:pPr>
        <w:widowControl/>
      </w:pPr>
      <w:r>
        <w:t>В §5 позднее содержание рассматривается как возможный обоснованный вывод. Теперь тот же разрез применяется к самому выводу. Если записано «Иван раньше курил», перед разбором находится эта запись. Основание такого чтения можно предъявить и рассмотреть; это не превращает предложение в курение Ивана. Обоснованность вывода и тождество написанного с названным не подменяют друг друга.</w:t>
      </w:r>
    </w:p>
    <w:p>
      <w:pPr>
        <w:widowControl/>
      </w:pPr>
      <w:r>
        <w:t>Для повторения сохранить исходную запись, запись вывода и запись приписанного статуса отдельно. Указать точный фрагмент, прочитанный как основание вывода. Затем сохранить определения, правила и материал проверки, на которые ссылается объяснение. Каждое добавление расширяет предъявленный материал; ни одно не перестаёт быть записью после признания его обоснованным. Если вывод был буквально записан в исходном материале, отметить его наличие там: универсальная граница от этого не исчезает.</w:t>
      </w:r>
    </w:p>
    <w:p>
      <w:pPr>
        <w:widowControl/>
      </w:pPr>
      <w:r>
        <w:t>«Значение» здесь тоже предъявлено как написанное слово. Записанные определение и объяснение значения — дальнейшие записи, к которым применяется та же процедура. Ссылка на значение не предоставляет записи исключения из этой границы. Фразы «значение есть» и «значения нет» одним своим написанием не устанавливают ни наличия, ни отсутствия названного.</w:t>
      </w:r>
    </w:p>
    <w:p>
      <w:pPr>
        <w:widowControl/>
      </w:pPr>
      <w:r>
        <w:t>Нетождество написанного и названного само по себе не решает, обосновано ли конкретное чтение. Само это различение, как и фраза «вывод тоже запись», предъявлено словами и получает тот же разбор. Слово «граница» не удостоверяет утверждаемое одним своим появлением.</w:t>
      </w:r>
    </w:p>
    <w:p>
      <w:pPr>
        <w:pStyle w:val="Heading2"/>
        <w:widowControl/>
      </w:pPr>
      <w:r>
        <w:t>5.2. Одна граница в разных областях</w:t>
      </w:r>
    </w:p>
    <w:p>
      <w:pPr>
        <w:widowControl/>
      </w:pPr>
      <w:r>
        <w:t>«Биология», «физика», «право» и другие названия областей здесь тоже предъявлены как слова. Принадлежность записи к области не освобождает её от процедуры: сохранить написанное, отдельно предъявить добавление, указать приписанное отношение и повторить разбор для самого объяснения.</w:t>
      </w:r>
    </w:p>
    <w:p>
      <w:pPr>
        <w:widowControl/>
      </w:pPr>
      <w:r>
        <w:t>Ниже приведены специально составленные учебные записи. Снимки, документы и данные названы как возможные добавления к упражнению; реальные материалы наблюдений, дел или расчётов здесь не предъявлены.</w:t>
      </w:r>
    </w:p>
    <w:p>
      <w:pPr>
        <w:widowControl/>
      </w:pPr>
      <w:r>
        <w:t>Для каждого прохода заранее зафиксировать рассматриваемый состав: исходную запись, конкретное добавление и запись приписанного статуса. Добавление основания может изменить обоснованность чтения. Оно не превращает написанное в названное. Непредъявленное в выбранном составе не объявляется отсутствующим вообще.</w:t>
      </w:r>
    </w:p>
    <w:p>
      <w:pPr>
        <w:pStyle w:val="Heading3"/>
        <w:widowControl/>
      </w:pPr>
      <w:r>
        <w:t>Биология</w:t>
      </w:r>
    </w:p>
    <w:p>
      <w:pPr>
        <w:pStyle w:val="Stimulus"/>
        <w:keepNext/>
        <w:widowControl/>
      </w:pPr>
      <w:r>
        <w:t>Клетка делится</w:t>
      </w:r>
    </w:p>
    <w:p>
      <w:pPr>
        <w:widowControl/>
      </w:pPr>
      <w:r>
        <w:t>Предложение не становится делением клетки, которое оно описывает.</w:t>
      </w:r>
    </w:p>
    <w:p>
      <w:pPr>
        <w:widowControl/>
      </w:pPr>
      <w:r>
        <w:rPr>
          <w:b/>
        </w:rPr>
        <w:t xml:space="preserve">Что добавлено. </w:t>
      </w:r>
      <w:r>
        <w:t>Если добавлено «это видно на снимках», сохранить снимки, подписи и порядок предъявления отдельно. Эта фраза сама по себе не предъявляет ни снимков, ни названного наблюдения.</w:t>
      </w:r>
    </w:p>
    <w:p>
      <w:pPr>
        <w:widowControl/>
      </w:pPr>
      <w:r>
        <w:rPr>
          <w:b/>
        </w:rPr>
        <w:t xml:space="preserve">Повторить разбор. </w:t>
      </w:r>
      <w:r>
        <w:t>Указать, какие признаки на каком материале прочитаны как деление. Записанное объяснение также остаётся материалом разбора.</w:t>
      </w:r>
    </w:p>
    <w:p>
      <w:pPr>
        <w:pStyle w:val="Heading3"/>
        <w:widowControl/>
      </w:pPr>
      <w:r>
        <w:t>Химия</w:t>
      </w:r>
    </w:p>
    <w:p>
      <w:pPr>
        <w:pStyle w:val="Stimulus"/>
        <w:keepNext/>
        <w:widowControl/>
      </w:pPr>
      <w:r>
        <w:t>H₂O</w:t>
      </w:r>
    </w:p>
    <w:p>
      <w:pPr>
        <w:widowControl/>
      </w:pPr>
      <w:r>
        <w:t>Формула не становится веществом.</w:t>
      </w:r>
    </w:p>
    <w:p>
      <w:pPr>
        <w:widowControl/>
      </w:pPr>
      <w:r>
        <w:rPr>
          <w:b/>
        </w:rPr>
        <w:t xml:space="preserve">Что добавлено. </w:t>
      </w:r>
      <w:r>
        <w:t>Если рядом записано «вода» или приведён анализ образца, сохранить это как добавление. Название вещества не становится образцом, а запись результата анализа — самим проведением анализа.</w:t>
      </w:r>
    </w:p>
    <w:p>
      <w:pPr>
        <w:widowControl/>
      </w:pPr>
      <w:r>
        <w:rPr>
          <w:b/>
        </w:rPr>
        <w:t xml:space="preserve">Повторить разбор. </w:t>
      </w:r>
      <w:r>
        <w:t>Раздельно предъявить формулу, описание образца и основание их соотнесения. Повторить разбор для вывода «состав подтверждён».</w:t>
      </w:r>
    </w:p>
    <w:p>
      <w:pPr>
        <w:pStyle w:val="Heading3"/>
        <w:widowControl/>
      </w:pPr>
      <w:r>
        <w:t>Физика</w:t>
      </w:r>
    </w:p>
    <w:p>
      <w:pPr>
        <w:pStyle w:val="Stimulus"/>
        <w:keepNext/>
        <w:widowControl/>
      </w:pPr>
      <w:r>
        <w:t>Тело движется</w:t>
      </w:r>
    </w:p>
    <w:p>
      <w:pPr>
        <w:widowControl/>
      </w:pPr>
      <w:r>
        <w:t>Фраза о движении не становится движением тела.</w:t>
      </w:r>
    </w:p>
    <w:p>
      <w:pPr>
        <w:widowControl/>
      </w:pPr>
      <w:r>
        <w:rPr>
          <w:b/>
        </w:rPr>
        <w:t xml:space="preserve">Что добавлено. </w:t>
      </w:r>
      <w:r>
        <w:t>Если в основание приведены координаты и время, сохранить значения, единицы, выбранную систему отсчёта и описание измерения.</w:t>
      </w:r>
    </w:p>
    <w:p>
      <w:pPr>
        <w:widowControl/>
      </w:pPr>
      <w:r>
        <w:rPr>
          <w:b/>
        </w:rPr>
        <w:t xml:space="preserve">Повторить разбор. </w:t>
      </w:r>
      <w:r>
        <w:t>Указать правило получения вывода из этих записей. Само правило, записанный вывод и запись его проверки подлежат тому же разбору.</w:t>
      </w:r>
    </w:p>
    <w:p>
      <w:pPr>
        <w:pStyle w:val="Heading3"/>
        <w:widowControl/>
      </w:pPr>
      <w:r>
        <w:t>Юриспруденция</w:t>
      </w:r>
    </w:p>
    <w:p>
      <w:pPr>
        <w:pStyle w:val="Stimulus"/>
        <w:keepNext/>
        <w:widowControl/>
      </w:pPr>
      <w:r>
        <w:t>Преступление совершено</w:t>
      </w:r>
    </w:p>
    <w:p>
      <w:pPr>
        <w:widowControl/>
      </w:pPr>
      <w:r>
        <w:t>Утверждение о преступлении не становится событием, о котором оно написано.</w:t>
      </w:r>
    </w:p>
    <w:p>
      <w:pPr>
        <w:widowControl/>
      </w:pPr>
      <w:r>
        <w:rPr>
          <w:b/>
        </w:rPr>
        <w:t xml:space="preserve">Что добавлено. </w:t>
      </w:r>
      <w:r>
        <w:t>Отдельно сохранить сообщение, предъявленные материалы и текст решения, если он добавлен. Названия «свидетельство» и «решение» не заменяют этих материалов.</w:t>
      </w:r>
    </w:p>
    <w:p>
      <w:pPr>
        <w:widowControl/>
      </w:pPr>
      <w:r>
        <w:rPr>
          <w:b/>
        </w:rPr>
        <w:t xml:space="preserve">Повторить разбор. </w:t>
      </w:r>
      <w:r>
        <w:t>Указать, где записано утверждение о событии, а где — решение относительно него. Документ может участвовать в действии; условия и последствия его использования рассматриваются отдельно. Это участие не делает текст тождественным описанному событию.</w:t>
      </w:r>
    </w:p>
    <w:p>
      <w:pPr>
        <w:pStyle w:val="Heading3"/>
        <w:widowControl/>
      </w:pPr>
      <w:r>
        <w:t>Философия</w:t>
      </w:r>
    </w:p>
    <w:p>
      <w:pPr>
        <w:pStyle w:val="Stimulus"/>
        <w:keepNext/>
        <w:widowControl/>
      </w:pPr>
      <w:r>
        <w:t>Существование</w:t>
      </w:r>
    </w:p>
    <w:p>
      <w:pPr>
        <w:widowControl/>
      </w:pPr>
      <w:r>
        <w:t>Слово не становится тем, существование чего утверждается.</w:t>
      </w:r>
    </w:p>
    <w:p>
      <w:pPr>
        <w:widowControl/>
      </w:pPr>
      <w:r>
        <w:rPr>
          <w:b/>
        </w:rPr>
        <w:t xml:space="preserve">Что добавлено. </w:t>
      </w:r>
      <w:r>
        <w:t>Если добавлены определение, различение или аргумент, сохранить их отдельно. Слова «основание» и «доказано» также предъявляются как записи.</w:t>
      </w:r>
    </w:p>
    <w:p>
      <w:pPr>
        <w:widowControl/>
      </w:pPr>
      <w:r>
        <w:rPr>
          <w:b/>
        </w:rPr>
        <w:t xml:space="preserve">Повторить разбор. </w:t>
      </w:r>
      <w:r>
        <w:t>Указать точный фрагмент, прочитанный как основание утверждения о существовании. Определение термина и такое утверждение разбирать отдельно, сохраняя границу для обоих.</w:t>
      </w:r>
    </w:p>
    <w:p>
      <w:pPr>
        <w:pStyle w:val="Heading3"/>
        <w:widowControl/>
      </w:pPr>
      <w:r>
        <w:t>География</w:t>
      </w:r>
    </w:p>
    <w:p>
      <w:pPr>
        <w:pStyle w:val="Stimulus"/>
        <w:keepNext/>
        <w:widowControl/>
      </w:pPr>
      <w:r>
        <w:t>Океан</w:t>
      </w:r>
    </w:p>
    <w:p>
      <w:pPr>
        <w:widowControl/>
      </w:pPr>
      <w:r>
        <w:t>Написанное «Океан» не становится океаном.</w:t>
      </w:r>
    </w:p>
    <w:p>
      <w:pPr>
        <w:widowControl/>
      </w:pPr>
      <w:r>
        <w:rPr>
          <w:b/>
        </w:rPr>
        <w:t xml:space="preserve">Что добавлено. </w:t>
      </w:r>
      <w:r>
        <w:t>Если добавлена карта, сохранить название, изображение и легенду раздельно. Само название не предъявляет ни карту, ни обозначенное на ней пространство.</w:t>
      </w:r>
    </w:p>
    <w:p>
      <w:pPr>
        <w:widowControl/>
      </w:pPr>
      <w:r>
        <w:rPr>
          <w:b/>
        </w:rPr>
        <w:t xml:space="preserve">Повторить разбор. </w:t>
      </w:r>
      <w:r>
        <w:t>Указать, к какому месту отнесено название и по каким данным. Запись координат и описание сопоставления сохраняют ту же границу.</w:t>
      </w:r>
    </w:p>
    <w:p>
      <w:pPr>
        <w:pStyle w:val="Heading3"/>
        <w:widowControl/>
      </w:pPr>
      <w:r>
        <w:t>Астрономия</w:t>
      </w:r>
    </w:p>
    <w:p>
      <w:pPr>
        <w:pStyle w:val="Stimulus"/>
        <w:keepNext/>
        <w:widowControl/>
      </w:pPr>
      <w:r>
        <w:t>Звезда погасла</w:t>
      </w:r>
    </w:p>
    <w:p>
      <w:pPr>
        <w:widowControl/>
      </w:pPr>
      <w:r>
        <w:t>Фраза не становится событием на звезде.</w:t>
      </w:r>
    </w:p>
    <w:p>
      <w:pPr>
        <w:widowControl/>
      </w:pPr>
      <w:r>
        <w:rPr>
          <w:b/>
        </w:rPr>
        <w:t xml:space="preserve">Что добавлено. </w:t>
      </w:r>
      <w:r>
        <w:t>Если приведены наблюдения, сохранить время регистрации, значения и описание способа получения данных. Предложение о звезде и запись наблюдения остаются отдельными материалами.</w:t>
      </w:r>
    </w:p>
    <w:p>
      <w:pPr>
        <w:widowControl/>
      </w:pPr>
      <w:r>
        <w:rPr>
          <w:b/>
        </w:rPr>
        <w:t xml:space="preserve">Повторить разбор. </w:t>
      </w:r>
      <w:r>
        <w:t>Указать, как из предъявленных данных получено именно это утверждение. Слова «сигнал», «причина» и «подтверждено» также подлежат разбору.</w:t>
      </w:r>
    </w:p>
    <w:p>
      <w:pPr>
        <w:pStyle w:val="Heading3"/>
        <w:widowControl/>
      </w:pPr>
      <w:r>
        <w:t>История</w:t>
      </w:r>
    </w:p>
    <w:p>
      <w:pPr>
        <w:pStyle w:val="Stimulus"/>
        <w:keepNext/>
        <w:widowControl/>
      </w:pPr>
      <w:r>
        <w:t>Это произошло</w:t>
      </w:r>
    </w:p>
    <w:p>
      <w:pPr>
        <w:widowControl/>
      </w:pPr>
      <w:r>
        <w:t>Записанное «произошло» не становится произошедшим.</w:t>
      </w:r>
    </w:p>
    <w:p>
      <w:pPr>
        <w:widowControl/>
      </w:pPr>
      <w:r>
        <w:rPr>
          <w:b/>
        </w:rPr>
        <w:t xml:space="preserve">Что добавлено. </w:t>
      </w:r>
      <w:r>
        <w:t>Если добавлены дата, авторство или цитата из документа, сохранить предъявленный документ, точный фрагмент и порядок добавлений. Пересказ и ссылка на источник не становятся самим источником.</w:t>
      </w:r>
    </w:p>
    <w:p>
      <w:pPr>
        <w:widowControl/>
      </w:pPr>
      <w:r>
        <w:rPr>
          <w:b/>
        </w:rPr>
        <w:t xml:space="preserve">Повторить разбор. </w:t>
      </w:r>
      <w:r>
        <w:t>Отделить сообщение о событии от приписанных ему даты, происхождения и статуса. Запись «источник подтверждён» подлежит той же процедуре.</w:t>
      </w:r>
    </w:p>
    <w:p>
      <w:pPr>
        <w:pStyle w:val="Heading3"/>
        <w:widowControl/>
      </w:pPr>
      <w:r>
        <w:t>Экономика</w:t>
      </w:r>
    </w:p>
    <w:p>
      <w:pPr>
        <w:pStyle w:val="Stimulus"/>
        <w:keepNext/>
        <w:widowControl/>
      </w:pPr>
      <w:r>
        <w:t>Прибыль выросла</w:t>
      </w:r>
    </w:p>
    <w:p>
      <w:pPr>
        <w:widowControl/>
      </w:pPr>
      <w:r>
        <w:t>Слова «Прибыль выросла» не становятся названным изменением.</w:t>
      </w:r>
    </w:p>
    <w:p>
      <w:pPr>
        <w:widowControl/>
      </w:pPr>
      <w:r>
        <w:rPr>
          <w:b/>
        </w:rPr>
        <w:t xml:space="preserve">Что добавлено. </w:t>
      </w:r>
      <w:r>
        <w:t>Добавить период сравнения, исходные величины и правило расчёта. Эти записи меняют предъявленное основание для оценки вывода; они не превращают предложение в названный рост.</w:t>
      </w:r>
    </w:p>
    <w:p>
      <w:pPr>
        <w:widowControl/>
      </w:pPr>
      <w:r>
        <w:rPr>
          <w:b/>
        </w:rPr>
        <w:t xml:space="preserve">Повторить разбор. </w:t>
      </w:r>
      <w:r>
        <w:t>Сначала рассмотреть вывод отдельно, затем — вместе с данными и правилом. Отметить, что добавилось и как изменилось основание чтения. Запись результата расчёта также сохраняет границу.</w:t>
      </w:r>
    </w:p>
    <w:p>
      <w:pPr>
        <w:pStyle w:val="Heading3"/>
        <w:widowControl/>
      </w:pPr>
      <w:r>
        <w:t>Информатика</w:t>
      </w:r>
    </w:p>
    <w:p>
      <w:pPr>
        <w:pStyle w:val="Stimulus"/>
        <w:keepNext/>
        <w:widowControl/>
      </w:pPr>
      <w:r>
        <w:t>Вычисление завершено</w:t>
      </w:r>
    </w:p>
    <w:p>
      <w:pPr>
        <w:widowControl/>
      </w:pPr>
      <w:r>
        <w:t>Строка не становится выполненным вычислением.</w:t>
      </w:r>
    </w:p>
    <w:p>
      <w:pPr>
        <w:widowControl/>
      </w:pPr>
      <w:r>
        <w:rPr>
          <w:b/>
        </w:rPr>
        <w:t xml:space="preserve">Что добавлено. </w:t>
      </w:r>
      <w:r>
        <w:t>Предъявить две одинаковые строки. К одной добавить «написано до запуска», к другой — «получено после выполнения». Подписи различают заявленные обстоятельства; сами по себе они не предъявляют запуск и выполнение.</w:t>
      </w:r>
    </w:p>
    <w:p>
      <w:pPr>
        <w:widowControl/>
      </w:pPr>
      <w:r>
        <w:rPr>
          <w:b/>
        </w:rPr>
        <w:t xml:space="preserve">Повторить разбор. </w:t>
      </w:r>
      <w:r>
        <w:t>Сравнить буквальный состав, затем подписи и материал проверки завершения. Если рассматривается исполняемый код, отдельно сохранить код, условия запуска и результат. Запись может участвовать в вычислении; это не делает её тождественной всему его выполнению.</w:t>
      </w:r>
    </w:p>
    <w:p>
      <w:pPr>
        <w:widowControl/>
      </w:pPr>
      <w:r>
        <w:t>В каждом примере остаются те же вопросы: что предъявлено здесь, что добавлено позднее, что при этом названо? Перечень областей не устанавливает универсальность одним перечислением. Записи этих примеров и объяснение их общего порядка подлежат той же процедуре.</w:t>
      </w:r>
    </w:p>
    <w:p>
      <w:pPr>
        <w:pStyle w:val="Heading2"/>
        <w:widowControl/>
      </w:pPr>
      <w:r>
        <w:t>5.3. Математическая запись тоже запись</w:t>
      </w:r>
    </w:p>
    <w:p>
      <w:pPr>
        <w:widowControl/>
      </w:pPr>
      <w:r>
        <w:t>«Математика», «число», «модель», «шаг» и «доказательство» сначала входят в этот разбор как предъявленные написания. Формула, условие задачи и запись вывода сохраняются в точном виде. Выбранное математическое чтение также подлежит разбору.</w:t>
      </w:r>
    </w:p>
    <w:p>
      <w:pPr>
        <w:widowControl/>
      </w:pPr>
      <w:r>
        <w:t>Возьмём учебную запись «2 + 2 = 4». Если предъявлены определения знаков и правила получения этой строки, сохранить их отдельно. Эти добавления позволяют рассмотреть, как строка обоснована в заданной системе. Обоснованность не отменяет различия между написанием, приписанным ему чтением и предъявленным обоснованием.</w:t>
      </w:r>
    </w:p>
    <w:p>
      <w:pPr>
        <w:widowControl/>
      </w:pPr>
      <w:r>
        <w:t>Запись «число шагов» не становится шагами. Обозначение машины на странице не выполняет вычисление одним своим появлением. Определение, доказательство и запись проверки применяются в разборе как предъявленный материал; признание их обоснованными не предоставляет исключения из границы.</w:t>
      </w:r>
    </w:p>
    <w:p>
      <w:pPr>
        <w:widowControl/>
      </w:pPr>
      <w:r>
        <w:t>Следующий пример сохраняет этот порядок для P против NP: сначала запись постановки, затем предполагаемый вывод и приписанный ему статус. Каждое добавленное определение, правило и основание проверяется в пределах предъявленного состава. Сам этот порядок также предъявлен в записи.</w:t>
      </w:r>
    </w:p>
    <w:p>
      <w:pPr>
        <w:pStyle w:val="Heading2"/>
        <w:keepNext/>
      </w:pPr>
      <w:r>
        <w:t>5.4. Применение к P против NP</w:t>
      </w:r>
    </w:p>
    <w:p>
      <w:pPr>
        <w:widowControl/>
      </w:pPr>
      <w:r>
        <w:t>Материал разбора — постановка Стивена Кука. В ней заданы алфавит, строки, языки и машины. P использует полиномиальную границу числа шагов, NP — проверяемое за полиномиальное время отношение и свидетельство полиномиально ограниченной длины. Приложение определяет конфигурации и переходы; принятие строки требует конечного вычисления с завершением в принимающем состоянии. [25, с. 1–2, 9–10] Это краткое изложение условий постановки, а не её дословная замена.</w:t>
      </w:r>
    </w:p>
    <w:p>
      <w:pPr>
        <w:widowControl/>
      </w:pPr>
      <w:r>
        <w:t>Для разбора сохранить три слоя. Первый — точные фрагменты определений и вопроса. Второй — отдельно предъявленная запись предполагаемого вывода, например «P = NP»; здесь это условный пример без доказательства. Третий — запись статуса, например «это решение». Для третьего слоя указать, на какой текст вывода он ссылается, по каким критериям присвоен статус и какой материал проверки предъявлен. Критерии и отчёт проверки также сохраняются отдельно. При отсутствии доказательства не приписывать его одним названием.</w:t>
      </w:r>
    </w:p>
    <w:p>
      <w:pPr>
        <w:widowControl/>
      </w:pPr>
      <w:r>
        <w:t>Даже если вывод обоснован по указанным правилам и принят по предъявленным критериям, его написание не становится названным. Буква «M» не выполняет вычисление; слова «число шагов» не становятся шагами; запись «решение» не получает иного статуса материала. Это касается самого вывода, а не только его последующего применения. Определения задают условия математического чтения, но их написание не снимает границу.</w:t>
      </w:r>
    </w:p>
    <w:p>
      <w:pPr>
        <w:widowControl/>
      </w:pPr>
      <w:r>
        <w:t>Оговорки источника также сохраняются. Кук различает полиномиальную сложность и практическую выполнимость на примере алгоритма с числом шагов n в степени 100. [25, с. 3–4] Поэтому нельзя приписывать постановке безусловное отождествление этих выражений. Для каждого предполагаемого отождествления нужен конкретный фрагмент.</w:t>
      </w:r>
    </w:p>
    <w:p>
      <w:pPr>
        <w:widowControl/>
      </w:pPr>
      <w:r>
        <w:t>Этот проход показывает, как удерживать статус записи при разборе определения, вывода и его признания. Он не предъявляет доказательства равенства или неравенства P и NP и не объявляет противоречия в постановке. Слово «решено», если оно добавлено к этому проходу, тоже потребует отдельного основания. Этот абзац остаётся записью на тех же условиях.</w:t>
      </w:r>
    </w:p>
    <w:p>
      <w:pPr>
        <w:widowControl/>
      </w:pPr>
      <w:r>
        <w:t>Этот разбор не получает исключения. Названия областей, примеры, формулировка общей границы и вывод о её применении здесь предъявлены в записи. Для них сохраняются те же вопросы о составе, порядке, добавлении и основании.</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r>
              <w:t>ЦЕЛЕВАЯ ЗАПИСЬ НЕ ИЗМЕНИЛАСЬ. ПОЗДНИЙ МАТЕРИАЛ МОЖЕТ РАЗЛИЧАТЬСЯ. ОТКУДА ВЗЯЛОСЬ РАЗЛИЧИЕ? НАЗВАТЬ ПРИЧИНУ — НЕ ЗНАЧИТ ПОКАЗАТЬ ПЕРЕХОД.</w:t>
            </w:r>
          </w:p>
        </w:tc>
      </w:tr>
    </w:tbl>
    <w:p>
      <w:pPr>
        <w:pStyle w:val="Heading1"/>
        <w:pageBreakBefore w:val="0"/>
      </w:pPr>
      <w:r>
        <w:t>6. ГДЕ ВОЗНИКАЕТ СЛЕДУЮЩЕЕ?</w:t>
      </w:r>
    </w:p>
    <w:p>
      <w:pPr/>
      <w:r>
        <w:t>Граница источника и вывода ещё не отвечает на более ранний вопрос: почему после одной предъявленной формы вообще возникает конкретное следующее чтение? Слова «значение», «контекст», «память», «предсказание», «эмоциональная значимость» или «мозг» могут называть возможные объяснения, но их появление в ответе не демонстрирует сам переход.</w:t>
      </w:r>
    </w:p>
    <w:p>
      <w:pPr>
        <w:pStyle w:val="Heading2"/>
      </w:pPr>
      <w:r>
        <w:t>Основной русский проход: «меня»</w:t>
      </w:r>
    </w:p>
    <w:p>
      <w:pPr/>
      <w:r>
        <w:t>Основная цель — «меня». Это не заявка на открытие личного дейксиса или индексальности: зависимость первого лица от позиции говорящего и различение устойчивой индексальной функции с меняющимся содержанием давно описаны. [21,22] Здесь проверяется более узкая граница: если читатель относит одну и ту же написанную форму «меня» к разным предъявленным лицам, имя, появившееся в этом отнесении, буквально не написано внутри целевой формы.</w:t>
      </w:r>
    </w:p>
    <w:p>
      <w:pPr>
        <w:keepNext/>
      </w:pPr>
      <w:r>
        <w:t>Сначала предъявить предшествующую запись:</w:t>
      </w:r>
    </w:p>
    <w:p>
      <w:pPr>
        <w:pStyle w:val="Stimulus"/>
        <w:spacing w:before="160" w:after="160" w:line="264" w:lineRule="auto"/>
      </w:pPr>
      <w:r>
        <w:t>Говорящий: Наташа</w:t>
      </w:r>
    </w:p>
    <w:p>
      <w:pPr>
        <w:keepNext/>
      </w:pPr>
      <w:r>
        <w:t>Затем отдельно предъявить целевую запись:</w:t>
      </w:r>
    </w:p>
    <w:p>
      <w:pPr>
        <w:pStyle w:val="Stimulus"/>
        <w:spacing w:before="160" w:after="160" w:line="264" w:lineRule="auto"/>
      </w:pPr>
      <w:r>
        <w:t>меня</w:t>
      </w:r>
    </w:p>
    <w:p>
      <w:pPr>
        <w:keepNext/>
      </w:pPr>
      <w:r>
        <w:t>Не объяснять чтение. В новом проходе предъявить другую предшествующую запись:</w:t>
      </w:r>
    </w:p>
    <w:p>
      <w:pPr>
        <w:pStyle w:val="Stimulus"/>
        <w:spacing w:before="160" w:after="160" w:line="264" w:lineRule="auto"/>
      </w:pPr>
      <w:r>
        <w:t>Говорящий: Кирилл</w:t>
      </w:r>
    </w:p>
    <w:p>
      <w:pPr>
        <w:keepNext/>
      </w:pPr>
      <w:r>
        <w:t>И снова отдельно предъявить ту же целевую запись:</w:t>
      </w:r>
    </w:p>
    <w:p>
      <w:pPr>
        <w:pStyle w:val="Stimulus"/>
        <w:spacing w:before="160" w:after="160" w:line="264" w:lineRule="auto"/>
      </w:pPr>
      <w:r>
        <w:t>меня</w:t>
      </w:r>
    </w:p>
    <w:p>
      <w:pPr/>
      <w:r>
        <w:t>Целевая письменная форма «меня» не изменилась. Работа также не заявляет, что изменилось словарное или грамматическое значение местоимения первого лица. Если в одном проходе читатель относит «меня» к Наташе, а в другом — к Кириллу, имена «Наташа» и «Кирилл» остаются в предшествующих записях, а не появляются задним числом внутри «меня». Проход не устанавливает «настоящего» говорящего и не демонстрирует механизм дейксиса; он только сохраняет место перехода между предъявленной позицией говорящего, неизменной целью и последующим отнесением.</w:t>
      </w:r>
    </w:p>
    <w:p>
      <w:pPr>
        <w:pStyle w:val="Heading2"/>
        <w:pageBreakBefore w:val="0"/>
      </w:pPr>
      <w:r>
        <w:t>Нейтральный русский контроль: одна форма, разные словарные чтения</w:t>
      </w:r>
    </w:p>
    <w:p>
      <w:pPr/>
      <w:r>
        <w:t>Нейтральный контроль использует «ключ». Грамота.ру фиксирует одну и ту же письменную форму и произношение при значениях, включающих устройство для отпирания и родник/источник. [23] Этот проход нужен, чтобы центральная граница не зависела только от первого лица.</w:t>
      </w:r>
    </w:p>
    <w:p>
      <w:pPr>
        <w:pStyle w:val="Stimulus"/>
        <w:spacing w:before="160" w:after="160" w:line="264" w:lineRule="auto"/>
      </w:pPr>
      <w:r>
        <w:t>На столе лежал дверной</w:t>
      </w:r>
    </w:p>
    <w:p>
      <w:pPr>
        <w:keepNext/>
      </w:pPr>
      <w:r>
        <w:t>Затем отдельно:</w:t>
      </w:r>
    </w:p>
    <w:p>
      <w:pPr>
        <w:pStyle w:val="Stimulus"/>
        <w:spacing w:before="160" w:after="160" w:line="264" w:lineRule="auto"/>
      </w:pPr>
      <w:r>
        <w:t>ключ</w:t>
      </w:r>
    </w:p>
    <w:p>
      <w:pPr>
        <w:keepNext/>
      </w:pPr>
      <w:r>
        <w:t>Не объяснять чтение. Новый проход:</w:t>
      </w:r>
    </w:p>
    <w:p>
      <w:pPr>
        <w:pStyle w:val="Stimulus"/>
        <w:spacing w:before="160" w:after="160" w:line="264" w:lineRule="auto"/>
      </w:pPr>
      <w:r>
        <w:t>Из-под камней бил холодный</w:t>
      </w:r>
    </w:p>
    <w:p>
      <w:pPr>
        <w:keepNext/>
      </w:pPr>
      <w:r>
        <w:t>И снова отдельно ту же цель:</w:t>
      </w:r>
    </w:p>
    <w:p>
      <w:pPr>
        <w:pStyle w:val="Stimulus"/>
        <w:spacing w:before="160" w:after="160" w:line="264" w:lineRule="auto"/>
      </w:pPr>
      <w:r>
        <w:t>ключ</w:t>
      </w:r>
    </w:p>
    <w:p>
      <w:pPr/>
      <w:r>
        <w:t>Целевая запись «ключ» не изменилась. Если текущее словарное чтение различается, этот проход фиксирует только различие при неизменной цели. Он не превращает слово «контекст» или любое другое объяснение в показ причины перехода.</w:t>
      </w:r>
    </w:p>
    <w:p>
      <w:pPr>
        <w:pStyle w:val="Heading2"/>
        <w:pageBreakBefore w:val="0"/>
      </w:pPr>
      <w:r>
        <w:t>Дополнительный русский случай: одинаковое написание, разное ударение</w:t>
      </w:r>
    </w:p>
    <w:p>
      <w:pPr/>
      <w:r>
        <w:t>Дополнительный проход использует «замок». Грамота.ру фиксирует одинаковое написание при двух ударениях: за́мок — крепость и замо́к — устройство для запирания. [24] Это другой языковой случай: неизменна графическая цель, но чтение может различаться уже на уровне ударения.</w:t>
      </w:r>
    </w:p>
    <w:p>
      <w:pPr>
        <w:pStyle w:val="Stimulus"/>
        <w:spacing w:before="160" w:after="160" w:line="264" w:lineRule="auto"/>
      </w:pPr>
      <w:r>
        <w:t>На двери висел</w:t>
      </w:r>
    </w:p>
    <w:p>
      <w:pPr>
        <w:keepNext/>
      </w:pPr>
      <w:r>
        <w:t>Затем отдельно:</w:t>
      </w:r>
    </w:p>
    <w:p>
      <w:pPr>
        <w:pStyle w:val="Stimulus"/>
        <w:spacing w:before="160" w:after="160" w:line="264" w:lineRule="auto"/>
      </w:pPr>
      <w:r>
        <w:t>замок</w:t>
      </w:r>
    </w:p>
    <w:p>
      <w:pPr>
        <w:keepNext/>
      </w:pPr>
      <w:r>
        <w:t>Не объяснять чтение. Новый проход:</w:t>
      </w:r>
    </w:p>
    <w:p>
      <w:pPr>
        <w:pStyle w:val="Stimulus"/>
        <w:spacing w:before="160" w:after="160" w:line="264" w:lineRule="auto"/>
      </w:pPr>
      <w:r>
        <w:t>На холме стоял</w:t>
      </w:r>
    </w:p>
    <w:p>
      <w:pPr>
        <w:keepNext/>
      </w:pPr>
      <w:r>
        <w:t>И снова отдельно ту же цель:</w:t>
      </w:r>
    </w:p>
    <w:p>
      <w:pPr>
        <w:pStyle w:val="Stimulus"/>
        <w:spacing w:before="160" w:after="160" w:line="264" w:lineRule="auto"/>
      </w:pPr>
      <w:r>
        <w:t>замок</w:t>
      </w:r>
    </w:p>
    <w:p>
      <w:pPr/>
      <w:r>
        <w:t>Этот проход не объединяется с «меня» или «ключ»: он документирует ещё один тип зависимости чтения от предшествующего материала при неизменной письменной цели.</w:t>
      </w:r>
    </w:p>
    <w:p>
      <w:pPr>
        <w:pStyle w:val="Heading2"/>
      </w:pPr>
      <w:r>
        <w:t>Причинная граница</w:t>
      </w:r>
    </w:p>
    <w:p>
      <w:pPr/>
      <w:r>
        <w:t>Изменение предшествующей записи и последующего отнесения или словарного чтения — зафиксированные различия в порядке предъявления. Их совместное появление само по себе не устанавливает формулу «предшествующая запись вызвала результат». Если появляется «контекст выбрал значение», «говорящий задал референт», «характер определил содержание», «память выбрала», «мозг предсказал» или другое объяснение, оно сохраняется как следующая запись. Чтобы причинная версия стала больше названия, требуется отдельное вмешательство, способное отличить её от альтернатив.</w:t>
      </w:r>
    </w:p>
    <w:p>
      <w:pPr/>
      <w:r>
        <w:t>Если у конкретного читателя чтение не меняется, из этого прохода не делается противоположный вывод. Этот экземпляр самопроверки просто не предъявил изменение. Утверждения о частоте и распределении переходов среди людей начинаются в отдельной эмпирической работе.</w:t>
      </w:r>
    </w:p>
    <w:p>
      <w:pPr/>
      <w:r>
        <w:t>Русская и английская редакции удерживают одну и ту же границу нативными средствами. Минимальный разрез — «я» / “I”; разрез названия и названного — «любовь» / “love” с рекурсией через «чувство» / “feeling”; главный индексальный проход — «меня» / “me”; нейтральные лексические контроли — «ключ» / “sanction”. Дополнительные случаи «замок» / “mean” не объединяются в один межъязыковой результат.</w:t>
      </w:r>
    </w:p>
    <w:p>
      <w:pPr>
        <w:pStyle w:val="Heading1"/>
      </w:pPr>
      <w:r>
        <w:t>7. БЛИЖАЙШИЕ РАНЕЕ ОПИСАННЫЕ РАЗЛИЧИЯ</w:t>
      </w:r>
    </w:p>
    <w:p>
      <w:pPr/>
      <w:r>
        <w:t>Этот раздел не помещает работу внутрь чужой дисциплинарной рамки и не использует предшественников как авторитет. Его задача более узкая: показать, какие соседние различия действительно были описаны раньше и где именно заканчивается совпадение.</w:t>
      </w:r>
    </w:p>
    <w:p>
      <w:pPr>
        <w:pStyle w:val="Heading2"/>
      </w:pPr>
      <w:r>
        <w:t>Употребление и упоминание</w:t>
      </w:r>
    </w:p>
    <w:p>
      <w:r>
        <w:t>Куайн систематически различает употребление выражения и упоминание самого выражения. Это близко к требованию не путать слово с тем, о чём оно используется. Но центральный разрез здесь не зависит от кавычек или классификации употребления: он сравнивает фиксированную первую запись с поздним письменным материалом и снова применяет разрез к самому объяснению. [8]</w:t>
      </w:r>
    </w:p>
    <w:p>
      <w:pPr>
        <w:pStyle w:val="Heading2"/>
      </w:pPr>
      <w:r>
        <w:t>Тип и экземпляр; интерпретанта как дальнейший знак</w:t>
      </w:r>
    </w:p>
    <w:p>
      <w:r>
        <w:t>Пирс различал тип и конкретный экземпляр знака и описывал интерпретанту как дальнейший знак, способный вести к следующей интерпретанте. Это ближайший структурный сосед рекурсивности. Но настоящая процедура не требует модели «знак–объект–интерпретанта», не утверждает, что всякая запись обязана иметь интерпретанту, и не выводит объект знака; она останавливается на локальной проверке буквального предъявления. [9]</w:t>
      </w:r>
    </w:p>
    <w:p>
      <w:pPr>
        <w:pStyle w:val="Heading2"/>
      </w:pPr>
      <w:r>
        <w:t>«Карта не территория» / «слово не вещь»</w:t>
      </w:r>
    </w:p>
    <w:p>
      <w:r>
        <w:t>Коржибски отделял карту от территории и слово от вещи. Совпадение здесь — запрет тождества описания и названного. Отличие — работа не требует доступа к «территории» и не строит теорию абстракции: ей достаточно показать, был ли поздний письменный материал буквально предъявлен в первой записи. [10]</w:t>
      </w:r>
    </w:p>
    <w:p>
      <w:pPr>
        <w:pStyle w:val="Heading2"/>
      </w:pPr>
      <w:r>
        <w:t>Форма и значение в исследованиях языковых моделей</w:t>
      </w:r>
    </w:p>
    <w:p>
      <w:pPr/>
      <w:r>
        <w:t>Бендер и Коллер отделяют языковую форму от значения и используют это различие для критики утверждений о понимании систем, обученных только на форме. Настоящий разрез охватывает больше носителей, но делает более узкий вывод: он не делает утверждений о способности модели понимать и применяется к любой предъявленной письменной форме. [11]</w:t>
      </w:r>
    </w:p>
    <w:p>
      <w:pPr>
        <w:pStyle w:val="Heading2"/>
      </w:pPr>
      <w:r>
        <w:t>Сказанное и имплицированное</w:t>
      </w:r>
    </w:p>
    <w:p>
      <w:pPr/>
      <w:r>
        <w:t>Грайс различал то, что сказано, и то, что разговорно имплицируется. [17] Это прямой сосед проверочного прохода §5: содержание может быть рационально выведено, не будучи буквально произнесённым или написанным как отдельная строка. Неэквивалентность полной конфигурации остаётся в другом месте: ТОЧКА повторно применяет разрез к любому следующему объяснению и не допускает терминального арбитра, который своим названием закроет переход.</w:t>
      </w:r>
    </w:p>
    <w:p>
      <w:pPr>
        <w:pStyle w:val="Heading2"/>
      </w:pPr>
      <w:r>
        <w:t>Пресуппозиция как отдельный слой</w:t>
      </w:r>
    </w:p>
    <w:p>
      <w:pPr/>
      <w:r>
        <w:t>Сталнакер и последующая работа, включая Бивера, развивали отдельные модели пресуппозиции и фонового содержания. [18,19] Поэтому пример «перестал курить» не используется как заявка на открытие границы между сказанным и подразумеваемым. Он остаётся проверочным проходом перед более ранним вопросом §6: откуда появляется конкретное чтение и что именно изменяет его при неизменной целевой форме.</w:t>
      </w:r>
    </w:p>
    <w:p>
      <w:pPr>
        <w:pStyle w:val="Heading2"/>
      </w:pPr>
      <w:r>
        <w:t>Личные местоимения и дейксис</w:t>
      </w:r>
    </w:p>
    <w:p>
      <w:pPr/>
      <w:r>
        <w:t>Левинсон рассматривает дейксис как зависимость интерпретации выражений от параметров речевой ситуации, включая участников и говорящего. Каплан отдельно различает устойчивую функцию индексального выражения и содержание, определяемое относительно контекста. [21,22] Эти конструкции здесь нужны только как граница предшествующего знания: ТОЧКА не заявляет, что открыла зависимость «меня» от говорящего или изменение референта при неизменной индексальной форме. Добавляемый разрез находится позже: имя, появившееся при чтении, не становится буквальной частью написанного «меня», а каждое объяснение того, почему произошло именно это отнесение, снова входит как следующая запись.</w:t>
      </w:r>
    </w:p>
    <w:p>
      <w:pPr>
        <w:pStyle w:val="Heading2"/>
      </w:pPr>
      <w:r>
        <w:t>Контекст и лексическая неоднозначность</w:t>
      </w:r>
    </w:p>
    <w:p>
      <w:pPr/>
      <w:r>
        <w:t>Экспериментальные работы показывали, что предшествующий семантический материал способен смещать обработку одной и той же неоднозначной письменной формы; в классическом эксперименте использовалось английское слово, допускающее чтения, соответствующие «банку» и «берегу», в разных семантических окружениях. [20] Это делает зависимость чтения от предшествующего материала известным явлением, а не новизной ТОЧКИ. Отличие заявленной процедуры — в том, что она сохраняет каждый слой предъявления и применяет тот же разрез к следующему объяснению причины перехода.</w:t>
      </w:r>
    </w:p>
    <w:p>
      <w:pPr>
        <w:pStyle w:val="Heading2"/>
      </w:pPr>
      <w:r>
        <w:t>Толкование в пределах текста документа</w:t>
      </w:r>
    </w:p>
    <w:p>
      <w:pPr/>
      <w:r>
        <w:t>В договорном праве США правило толкования в пределах самого документа требует в определённых случаях выводить смысл из текста документа, не опираясь на внешние сведения. [15] Пересечение операционное: документ фиксирован, а внешнее добавление отделено. Неэквивалентность существенна: это правило юридического толкования с собственной областью применения и исключениями; ТОЧКА не решает юридический смысл и не запрещает внешнее свидетельство.</w:t>
      </w:r>
    </w:p>
    <w:p>
      <w:pPr>
        <w:pStyle w:val="Heading2"/>
      </w:pPr>
      <w:r>
        <w:t>Документальная транскрипция и редакторские добавления</w:t>
      </w:r>
    </w:p>
    <w:p>
      <w:pPr/>
      <w:r>
        <w:t>Практики документальной транскрипции различают материал источника и редакторское исправление, дополнение или восстановление; в рекомендациях TEI, например, исправленная форма может быть явно отделена от формы, которой нет в источнике, а добавленный редактором материал маркируется отдельно. [16] Это близкий операционный сосед сохранения источника, но не самоприменяемая процедура для любого последующего объяснения и не правило отсутствия привилегированного последнего арбитра.</w:t>
      </w:r>
    </w:p>
    <w:p>
      <w:pPr/>
      <w:r>
        <w:t>Расширенный аудит также просмотрел работы об интерпретации и следовании правилу, «данном», регрессе обоснования, повторимости письменной метки и редакционной теории текста. Эти линии пересекаются с отдельными элементами, но не совпадают с заявленной полной конфигурацией. Точный журнал сравнения вынесен в отдельный файл пакета.</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b/>
                <w:sz w:val="22"/>
              </w:rPr>
              <w:t>УЗКАЯ ЗАЯВКА НА НОВИЗНУ: В ПРОСМОТРЕННЫХ ИСТОЧНИКАХ НЕ НАЙДЕНА РАННЯЯ РАБОТА, СОБИРАЮЩАЯ ВСЮ ОПЕРАЦИОННУЮ КОНФИГУРАЦИЮ ЭТОГО РАЗРЕЗА. ЭТО НЕ ЯВЛЯЕТСЯ ДОКАЗАТЕЛЬСТВОМ ИСТОРИЧЕСКОГО «ВПЕРВЫЕ».</w:t>
            </w:r>
          </w:p>
        </w:tc>
      </w:tr>
    </w:tbl>
    <w:p>
      <w:pPr>
        <w:pStyle w:val="Heading1"/>
      </w:pPr>
      <w:r>
        <w:t>8. ПРЕДШЕСТВУЮЩИЕ РАБОТЫ ЭТОЙ ИССЛЕДОВАТЕЛЬСКОЙ ЛИНИИ</w:t>
      </w:r>
    </w:p>
    <w:p>
      <w:r>
        <w:t>Семь предыдущих работ не используются как свидетельства истинности настоящего разреза. Они фиксируют последовательность, в которой один и тот же локальный порядок постепенно применялся к разным видам поздней атрибуции. Настоящая статья делает другой ход: изолирует сам общий разрез как отдельный объект и самоприменяемую процедуру.</w:t>
      </w:r>
    </w:p>
    <w:p>
      <w:pPr>
        <w:pStyle w:val="Heading2"/>
      </w:pPr>
      <w:r>
        <w:t>1. «Строка не имеет полномочий»</w:t>
      </w:r>
    </w:p>
    <w:p>
      <w:r>
        <w:t>Локальный разрез: сгенерированная запись отделена от приписанных ей референции, истинности, полномочия и разрешения действовать. Ещё не изолировано: общий читательский разрез любой предъявленной записи и любого последующего чтения. https://beforeword.xyz/research/no-authority-in-the-output/</w:t>
      </w:r>
    </w:p>
    <w:p>
      <w:pPr>
        <w:pStyle w:val="Heading2"/>
      </w:pPr>
      <w:r>
        <w:t>2. «Оценка не покидает запись»</w:t>
      </w:r>
    </w:p>
    <w:p>
      <w:r>
        <w:t>Локальный разрез: запись проверки отделена от последующей записи «оценивает», «верно», «эквивалентно» и других повышений статуса. Ещё не изолировано: общий разрез вне конкретной операции оценивания. https://beforeword.xyz/research/evaluation/</w:t>
      </w:r>
    </w:p>
    <w:p>
      <w:pPr>
        <w:pStyle w:val="Heading2"/>
      </w:pPr>
      <w:r>
        <w:t>3. «Ты меня понял?»</w:t>
      </w:r>
    </w:p>
    <w:p>
      <w:r>
        <w:t>Локальный разрез: формы «ты», «меня», «понял» отделены от приписанного референта и отношения понимания. Ещё не изолировано: общий разрез, применимый к любому следующему объяснению. https://beforeword.xyz/research/understanding/</w:t>
      </w:r>
    </w:p>
    <w:p>
      <w:pPr>
        <w:pStyle w:val="Heading2"/>
      </w:pPr>
      <w:r>
        <w:t>4. «Вид со стороны» появляется позже</w:t>
      </w:r>
    </w:p>
    <w:p>
      <w:r>
        <w:t>Локальный разрез: частная визуальная запись отделена от последующего общего статуса «вид со стороны». Ещё не изолировано: единое правило для письменных, визуальных и объяснительных продолжений. https://beforeword.xyz/research/view-from-outside/</w:t>
      </w:r>
    </w:p>
    <w:p>
      <w:pPr>
        <w:pStyle w:val="Heading2"/>
      </w:pPr>
      <w:r>
        <w:t>5. «МАТЕМАТИКА ОПРОВЕРГНУТА»</w:t>
      </w:r>
    </w:p>
    <w:p>
      <w:r>
        <w:t>Локальный разрез: запись, читаемая как математическая, отделена от приписанной ей автономной истины, силы, применения и власти. Ещё не изолировано: число и формула как такие же последующие формы внутри первичной самопроверки читателя. https://beforeword.xyz/research/mathematics-phases-0-7/</w:t>
      </w:r>
    </w:p>
    <w:p>
      <w:pPr>
        <w:pStyle w:val="Heading2"/>
      </w:pPr>
      <w:r>
        <w:t>6. «Чтение как клетка»</w:t>
      </w:r>
    </w:p>
    <w:p>
      <w:r>
        <w:t>Локальный разрез: самовозврат записи отделён от доказательного допуска и порядка появления основания. Ещё не изолировано: минимальная самоприменяемая проверка, в которой формальный аппарат не занимает центральное место. https://beforeword.xyz/research/reading-as-enclosure/</w:t>
      </w:r>
    </w:p>
    <w:p>
      <w:pPr>
        <w:pStyle w:val="Heading2"/>
      </w:pPr>
      <w:r>
        <w:t>7. «Границы записи»</w:t>
      </w:r>
    </w:p>
    <w:p>
      <w:r>
        <w:t>Локальный разрез: исходная запись отделена от последующей атрибуции через порядок источников и объявленную процедуру. Это ближайший прямой предок настоящей статьи. Настоящая редакция убирает необходимость делать процедуру или математический контракт судьёй первичной читательской границы. https://beforeword.xyz/research/record-boundaries/</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rFonts w:ascii="Liberation Sans" w:hAnsi="Liberation Sans"/>
                <w:b/>
                <w:sz w:val="22"/>
              </w:rPr>
              <w:t>СЕМЬ РАБОТ НЕ ДОКАЗЫВАЮТ ВОСЬМУЮ. ОНИ ПОКАЗЫВАЮТ, ГДЕ ОБЩИЙ РАЗРЕЗ БЫЛ РАНЬШЕ РАСПРЕДЕЛЁН МЕЖДУ ЧАСТНЫМИ СЛУЧАЯМИ.</w:t>
            </w:r>
          </w:p>
        </w:tc>
      </w:tr>
    </w:tbl>
    <w:p>
      <w:pPr>
        <w:pStyle w:val="Heading1"/>
      </w:pPr>
      <w:r>
        <w:t>9. НИКАКОГО ПРИВИЛЕГИРОВАННОГО ПОСЛЕДНЕГО СЛОВА</w:t>
      </w:r>
    </w:p>
    <w:p>
      <w:pPr>
        <w:pStyle w:val="ListBullet"/>
      </w:pPr>
      <w:r>
        <w:t>«значение» — следующая запись;</w:t>
      </w:r>
    </w:p>
    <w:p>
      <w:pPr>
        <w:pStyle w:val="ListBullet"/>
      </w:pPr>
      <w:r>
        <w:t>«понимание» — следующая запись;</w:t>
      </w:r>
    </w:p>
    <w:p>
      <w:pPr>
        <w:pStyle w:val="ListBullet"/>
      </w:pPr>
      <w:r>
        <w:t>«мозг» — следующая запись;</w:t>
      </w:r>
    </w:p>
    <w:p>
      <w:pPr>
        <w:pStyle w:val="ListBullet"/>
      </w:pPr>
      <w:r>
        <w:t>«наука доказала» — следующая запись;</w:t>
      </w:r>
    </w:p>
    <w:p>
      <w:pPr>
        <w:pStyle w:val="ListBullet"/>
      </w:pPr>
      <w:r>
        <w:t>«математика показала» — следующая запись;</w:t>
      </w:r>
    </w:p>
    <w:p>
      <w:pPr>
        <w:pStyle w:val="ListBullet"/>
      </w:pPr>
      <w:r>
        <w:t>«эксперт подтвердил» — следующая запись;</w:t>
      </w:r>
    </w:p>
    <w:p>
      <w:pPr>
        <w:pStyle w:val="ListBullet"/>
      </w:pPr>
      <w:r>
        <w:t>«языковая модель проверила» — следующая запись;</w:t>
      </w:r>
    </w:p>
    <w:p>
      <w:pPr>
        <w:pStyle w:val="ListBullet"/>
      </w:pPr>
      <w:r>
        <w:t>«рецензировано» — следующая запись;</w:t>
      </w:r>
    </w:p>
    <w:p>
      <w:pPr>
        <w:pStyle w:val="ListBullet"/>
      </w:pPr>
      <w:r>
        <w:t>«ТОЧКА верна» — следующая запись.</w:t>
      </w:r>
    </w:p>
    <w:p>
      <w:r>
        <w:t>Происхождение текста можно хранить для воспроизводимости, ответственности или требований площадки. Но происхождение не превращает строку в то, что она называет. Человек, языковая модель, журнал, должность и подпись не становятся весом истинности центрального разреза.</w:t>
      </w:r>
    </w:p>
    <w:p>
      <w:pPr>
        <w:pStyle w:val="Heading1"/>
      </w:pPr>
      <w:r>
        <w:t>10. НАУЧНОЕ ОСНОВАНИЕ ИНСТРУКЦИИ — НЕ ДОКАЗАТЕЛЬСТВО РАЗРЕЗА</w:t>
      </w:r>
    </w:p>
    <w:p>
      <w:r>
        <w:t>Струп показал устойчивое вмешательство привычного чтения в задачу; поэтому инструкция не требует невозможного «не читать». [1] Нисбетт и Уилсон описали ограничения словесных отчётов о причинах собственных психических процессов; поэтому позднее объяснение не принимается как прозрачный доступ к своей причине. [2]</w:t>
      </w:r>
    </w:p>
    <w:p>
      <w:r>
        <w:t>Лупьян предложил и экспериментально развивал гипотезу обратной связи ярлыков, согласно которой словесные метки способны менять последующую обработку. [3] Скулер и Энгстлер-Скулер сообщили эффект словесного затенения зрительной памяти. [4] Крупный предзарегистрированный отчёт о репликации позже обнаружил существенно меньший эффект при немедленном описании и более выраженный при двадцатиминутной задержке, то есть явную зависимость от тайминга. [5] Здесь это используется только как основание не считать позднюю вербализацию нейтральной копией.</w:t>
      </w:r>
    </w:p>
    <w:p>
      <w:r>
        <w:t>Либерман и соавторы сообщили изменения аффективной реакции и активности миндалины при словесной маркировке эмоций. [6] Это отдельное исследование, а не универсальный сертификат для слова «чувство». Ни один из этих источников не устанавливает ТОЧКУ.</w:t>
      </w:r>
    </w:p>
    <w:p>
      <w:pPr>
        <w:pStyle w:val="Heading1"/>
      </w:pPr>
      <w:r>
        <w:t>11. ВОСПРОИЗВОДИМОСТЬ БЕЗ ВНЕШНЕГО СУДЬИ</w:t>
      </w:r>
    </w:p>
    <w:p>
      <w:r>
        <w:t>Для повторения центрального разреза достаточно сохранить точную первую карточку или изображение и, если поздний ответ записывался, сохранить его отдельно вместе с порядком предъявления. Контрольная сумма может фиксировать неизменность файла; она не проверяет «я», дыхание, чувство, сознание или происходящее.</w:t>
      </w:r>
    </w:p>
    <w:p>
      <w:r>
        <w:t>Если другой читатель не получает продолжения, это не ошибка и не подтверждение. Если получает другое продолжение, это не опровергает локальную границу записи. Частота, устойчивость и распределение ответов относятся уже к отдельному исследованию читателей.</w:t>
      </w:r>
    </w:p>
    <w:p>
      <w:pPr>
        <w:pStyle w:val="Heading1"/>
      </w:pPr>
      <w:r>
        <w:t>12. ПРАКТИЧЕСКОЕ СЛЕДСТВИЕ: СОХРАНЯТЬ МЕСТО ПЕРЕХОДА</w:t>
      </w:r>
    </w:p>
    <w:p>
      <w:pPr/>
      <w:r>
        <w:t>Из центрального разреза не следует ответ на вопрос о причине перехода. Следует более точное требование к наблюдению: если важно исследовать, откуда появилось следующее чтение, нужно сохранять не только исходную запись, но и место перехода — что было предъявлено до цели, саму цель, что появилось после неё и какое объяснение перехода было добавлено затем.</w:t>
      </w:r>
    </w:p>
    <w:p>
      <w:pPr>
        <w:pStyle w:val="ListBullet"/>
      </w:pPr>
      <w:r>
        <w:t>сохранить предшествующую запись и целевую запись отдельно;</w:t>
      </w:r>
    </w:p>
    <w:p>
      <w:pPr>
        <w:pStyle w:val="ListBullet"/>
      </w:pPr>
      <w:r>
        <w:t>сохранить позднее чтение или ответ отдельно;</w:t>
      </w:r>
    </w:p>
    <w:p>
      <w:pPr>
        <w:pStyle w:val="ListBullet"/>
      </w:pPr>
      <w:r>
        <w:t>сохранить порядок предъявления и конкретное вмешательство, если оно было;</w:t>
      </w:r>
    </w:p>
    <w:p>
      <w:pPr>
        <w:pStyle w:val="ListBullet"/>
      </w:pPr>
      <w:r>
        <w:t>любое последующее объяснение причины сохранить ещё одним слоем, не выдавая его название за демонстрацию механизма.</w:t>
      </w:r>
    </w:p>
    <w:p>
      <w:pPr/>
      <w:r>
        <w:t>Практики сохранения источника и документальной транскрипции уже отделяют исходный материал от редакторских добавлений. [16] Добавляемый здесь слой другой: граница продолжается дальше — к последующему чтению и затем к каждому объяснению того, почему оно возникло. Слово «причина» не завершает этот ряд только своим появлением.</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b/>
                <w:sz w:val="22"/>
              </w:rPr>
              <w:t>СОХРАНИТЬ ИСХОДНУЮ ЗАПИСЬ НЕДОСТАТОЧНО, ЕСЛИ ИССЛЕДУЕТСЯ ПЕРЕХОД. НУЖНО СОХРАНИТЬ И ТО, ЧТО БЫЛО ДО НЕГО, И ТО, ЧТО ПОЯВИЛОСЬ ПОСЛЕ.</w:t>
            </w:r>
          </w:p>
        </w:tc>
      </w:tr>
    </w:tbl>
    <w:p>
      <w:pPr>
        <w:pStyle w:val="Heading1"/>
      </w:pPr>
      <w:r>
        <w:t>13. ГДЕ НАЧИНАЕТСЯ ОТДЕЛЬНАЯ ЭМПИРИЧЕСКАЯ РАБОТА</w:t>
      </w:r>
    </w:p>
    <w:p>
      <w:r>
        <w:t>Переход от «в этой записи» к «у людей», «часто», «обычно», «влияет на решения» или «имеет общественный эффект» меняет объект исследования. Там могут понадобиться участники, предрегистрация, этическое решение, контроль внушения, статистическая сводка и независимое воспроизведение. [7,12] Эти процедуры проверяют новые утверждения о выборке и поведении, а не выдают задним числом статус центральной границе записи.</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rFonts w:ascii="Liberation Sans" w:hAnsi="Liberation Sans"/>
                <w:b/>
                <w:sz w:val="22"/>
              </w:rPr>
              <w:t>«ЧТЕНИЕ ЗАНЯЛО МЕСТО ПРОИСХОДЯЩЕГО» — НЕ РЕЗУЛЬТАТ ЭТОЙ СТАТЬИ. ЭТО ФОРМУЛА ОТДЕЛЬНОЙ ПРОВЕРЯЕМОЙ ВЕТВИ.</w:t>
            </w:r>
          </w:p>
        </w:tc>
      </w:tr>
    </w:tbl>
    <w:p>
      <w:pPr>
        <w:pStyle w:val="Heading1"/>
      </w:pPr>
      <w:r>
        <w:t>14. ВЫВОД</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r>
              <w:t>В ИСХОДНОЙ ЗАПИСИ ПОЗДНЕГО МАТЕРИАЛА ЧТЕНИЯ НЕ БЫЛО. ПОТОМ ОН ПОЯВИЛСЯ.</w:t>
            </w:r>
          </w:p>
        </w:tc>
      </w:tr>
    </w:tbl>
    <w:p>
      <w:pPr/>
      <w:r>
        <w:t>Работа не завершает разрез словами «истина», «открытие», «контекст», «значение» или «мозг». На уровне публикации остаётся проверяемая заявка на новизну: в просмотренном материале не найден более ранний источник с полной операционной конфигурацией; предъявление такого источника снимает или сужает заявку. Центральный результат уже: материал, появившийся только в позднем чтении или объяснении, не был буквальным материалом исходной записи. Следующий научный вопрос начинается ровно здесь — что участвует в возникновении этого позднего материала и почему появившееся затем может читаться как содержание того, что было предъявлено раньше. Название возможной причины остаётся следующей записью. Отдельное вмешательство может дать основания различить объяснения; запись его результата также сохраняет эту границу.</w:t>
      </w:r>
      <w:r>
        <w:t xml:space="preserve"> Та же граница сохраняется для любого записанного вывода, включая обоснованный: ни определение, ни доказательство, ни его признание не превращают написанное в названное.</w:t>
      </w:r>
    </w:p>
    <w:tbl>
      <w:tblPr>
        <w:tblW w:type="auto" w:w="0"/>
        <w:tblLayout w:type="autofit"/>
        <w:tblLook w:firstColumn="1" w:firstRow="1" w:lastColumn="0" w:lastRow="0" w:noHBand="0" w:noVBand="1" w:val="04A0"/>
      </w:tblPr>
      <w:tblGrid>
        <w:gridCol w:w="9878"/>
      </w:tblGrid>
      <w:tr>
        <w:trPr>
          <w:cantSplit/>
        </w:trPr>
        <w:tc>
          <w:tcPr>
            <w:tcW w:type="dxa" w:w="9878"/>
            <w:vAlign w:val="center"/>
            <w:shd w:fill="F3F3F3"/>
            <w:tcBorders>
              <w:top w:val="single" w:sz="8" w:color="000000"/>
              <w:bottom w:val="single" w:sz="8" w:color="000000"/>
              <w:left w:val="nil"/>
              <w:right w:val="nil"/>
            </w:tcBorders>
          </w:tcPr>
          <w:p>
            <w:pPr>
              <w:spacing w:before="120" w:after="120"/>
            </w:pPr>
            <w:r>
              <w:rPr>
                <w:b/>
                <w:sz w:val="22"/>
              </w:rPr>
              <w:t>РАЗРЕЗ ПОКАЗЫВАЕТ ГРАНИЦУ ПЕРЕХОДА. ОН НЕ ПРИТВОРЯЕТСЯ ЕГО ПРИЧИНОЙ.</w:t>
            </w:r>
          </w:p>
        </w:tc>
      </w:tr>
    </w:tbl>
    <w:p>
      <w:pPr>
        <w:pStyle w:val="Heading1"/>
      </w:pPr>
      <w:r>
        <w:t>ИСТОЧНИКИ</w:t>
      </w:r>
    </w:p>
    <w:p>
      <w:pPr>
        <w:pStyle w:val="Small"/>
      </w:pPr>
      <w:r>
        <w:t>[1] Stroop, J. R. (1935). Studies of Interference in Serial Verbal Reactions. Journal of Experimental Psychology, 18(6), 643–662. DOI: 10.1037/h0054651.</w:t>
      </w:r>
    </w:p>
    <w:p>
      <w:pPr>
        <w:pStyle w:val="Small"/>
      </w:pPr>
      <w:r>
        <w:t>[2] Nisbett, R. E., &amp; Wilson, T. D. (1977). Telling More Than We Can Know: Verbal Reports on Mental Processes. Psychological Review, 84(3), 231–259. DOI: 10.1037/0033-295X.84.3.231.</w:t>
      </w:r>
    </w:p>
    <w:p>
      <w:pPr>
        <w:pStyle w:val="Small"/>
      </w:pPr>
      <w:r>
        <w:t>[3] Lupyan, G. (2012). Linguistically Modulated Perception and Cognition: The Label-Feedback Hypothesis. Frontiers in Psychology, 3, 54. DOI: 10.3389/fpsyg.2012.00054.</w:t>
      </w:r>
    </w:p>
    <w:p>
      <w:pPr>
        <w:pStyle w:val="Small"/>
      </w:pPr>
      <w:r>
        <w:t>[4] Schooler, J. W., &amp; Engstler-Schooler, T. Y. (1990). Verbal Overshadowing of Visual Memories: Some Things Are Better Left Unsaid. Cognitive Psychology, 22(1), 36–71. DOI: 10.1016/0010-0285(90)90003-M.</w:t>
      </w:r>
    </w:p>
    <w:p>
      <w:pPr>
        <w:pStyle w:val="Small"/>
      </w:pPr>
      <w:r>
        <w:t>[5] Alogna, V. K., et al. (2014). Registered Replication Report: Schooler and Engstler-Schooler (1990). Perspectives on Psychological Science, 9(5), 556–578. DOI: 10.1177/1745691614545653.</w:t>
      </w:r>
    </w:p>
    <w:p>
      <w:pPr>
        <w:pStyle w:val="Small"/>
      </w:pPr>
      <w:r>
        <w:t>[6] Lieberman, M. D., Eisenberger, N. I., Crockett, M. J., Tom, S. M., Pfeifer, J. H., &amp; Way, B. M. (2007). Putting Feelings Into Words: Affect Labeling Disrupts Amygdala Activity in Response to Affective Stimuli. Psychological Science, 18(5), 421–428. DOI: 10.1111/j.1467-9280.2007.01916.x.</w:t>
      </w:r>
    </w:p>
    <w:p>
      <w:pPr>
        <w:pStyle w:val="Small"/>
      </w:pPr>
      <w:r>
        <w:t>[7] Nosek, B. A., Ebersole, C. R., DeHaven, A. C., &amp; Mellor, D. T. (2018). The Preregistration Revolution. Proceedings of the National Academy of Sciences, 115(11), 2600–2606. DOI: 10.1073/pnas.1708274114.</w:t>
      </w:r>
    </w:p>
    <w:p>
      <w:pPr>
        <w:pStyle w:val="Small"/>
      </w:pPr>
      <w:r>
        <w:t>[8] Quine, W. V. (1951). Use versus Mention. In Mathematical Logic (rev. ed.), pp. 23–26. Harvard University Press. DOI: 10.4159/9780674042469-008.</w:t>
      </w:r>
    </w:p>
    <w:p>
      <w:pPr>
        <w:pStyle w:val="Small"/>
      </w:pPr>
      <w:r>
        <w:t>[9] Peirce, C. S. (1906). Prolegomena to an Apology for Pragmaticism. The Monist, 16(4), 492–546. DOI: 10.5840/monist190616436.</w:t>
      </w:r>
    </w:p>
    <w:p>
      <w:pPr>
        <w:pStyle w:val="Small"/>
      </w:pPr>
      <w:r>
        <w:t>[10] Korzybski, A. (1933). Science and Sanity: An Introduction to Non-Aristotelian Systems and General Semantics. International Non-Aristotelian Library Publishing Company.</w:t>
      </w:r>
    </w:p>
    <w:p>
      <w:pPr>
        <w:pStyle w:val="Small"/>
      </w:pPr>
      <w:r>
        <w:t>[11] Bender, E. M., &amp; Koller, A. (2020). Climbing towards NLU: On Meaning, Form, and Understanding in the Age of Data. Proceedings of ACL 2020, 5185–5198. DOI: 10.18653/v1/2020.acl-main.463.</w:t>
      </w:r>
    </w:p>
    <w:p>
      <w:pPr>
        <w:pStyle w:val="Small"/>
      </w:pPr>
      <w:r>
        <w:t>[12] Coles, N. A., Wyatt, M., &amp; Frank, M. C. (2025). A Meta-Analysis of the Impact and Heterogeneity of Explicit Demand Characteristics. Collabra: Psychology, 11(1), 143005. DOI: 10.1525/collabra.143005.</w:t>
      </w:r>
    </w:p>
    <w:p>
      <w:pPr>
        <w:pStyle w:val="Small"/>
      </w:pPr>
      <w:r>
        <w:t>[13] Reinecke, R., di Paola, S., Domaneschi, F., &amp; Fossard, M. (2022). Presupposition processing declines with age. Cognitive Processing, 23, 479–502. DOI: 10.1007/s10339-022-01088-z.</w:t>
      </w:r>
    </w:p>
    <w:p>
      <w:pPr>
        <w:pStyle w:val="Small"/>
      </w:pPr>
      <w:r>
        <w:t>[14] Degen, J. (2015). Investigating the distribution of some (but not all) implicatures using corpora and web-based methods. Semantics and Pragmatics, 8, Article 11. DOI: 10.3765/sp.8.11.</w:t>
      </w:r>
    </w:p>
    <w:p>
      <w:pPr>
        <w:pStyle w:val="Small"/>
      </w:pPr>
      <w:r>
        <w:t>[15] Legal Information Institute. Four corners of an instrument. Wex, Cornell Law School. https://www.law.cornell.edu/wex/four_corners_of_an_instrument . Дата обращения: 6 сентября 2026.</w:t>
      </w:r>
    </w:p>
    <w:p>
      <w:pPr>
        <w:pStyle w:val="Small"/>
      </w:pPr>
      <w:r>
        <w:t>[16] TEI Consortium. TEI P5: Guidelines for Electronic Text Encoding and Interchange, версия 4.12.0, 28 июля 2026, редакция 113e933e2, глава 12, Representation of Primary Sources. https://www.tei-c.org/Vault/P5/4.12.0/doc/tei-p5-doc/en/html/PH.html . Дата обращения: 6 сентября 2026.</w:t>
      </w:r>
    </w:p>
    <w:p>
      <w:pPr>
        <w:pStyle w:val="Small"/>
      </w:pPr>
      <w:r>
        <w:t>[17] Grice, H. P. (1975). Logic and Conversation. In P. Cole &amp; J. L. Morgan (eds.), Syntax and Semantics, Vol. 3: Speech Acts, 41–58. Оригинальный том: Academic Press; цифровое издание: Brill. DOI: 10.1163/9789004368811_003.</w:t>
      </w:r>
    </w:p>
    <w:p>
      <w:pPr>
        <w:pStyle w:val="Small"/>
      </w:pPr>
      <w:r>
        <w:t>[18] Stalnaker, R. C. (1973). Presuppositions. Journal of Philosophical Logic, 2(4), 447–457. DOI: 10.1007/BF00262951.</w:t>
      </w:r>
    </w:p>
    <w:p>
      <w:pPr>
        <w:pStyle w:val="Small"/>
      </w:pPr>
      <w:r>
        <w:t>[19] Beaver, D. I. (2001). Presupposition and Assertion in Dynamic Semantics. CSLI Publications / FoLLI. ISBN: 9781575861203.</w:t>
      </w:r>
    </w:p>
    <w:p>
      <w:pPr>
        <w:pStyle w:val="Small"/>
      </w:pPr>
      <w:r>
        <w:t>[20] Schvaneveldt, R. W., Meyer, D. E., &amp; Becker, C. A. (1976). Lexical ambiguity, semantic context, and visual word recognition. Journal of Experimental Psychology: Human Perception and Performance, 2(2), 243–256. DOI: 10.1037/0096-1523.2.2.243.</w:t>
      </w:r>
    </w:p>
    <w:p>
      <w:pPr>
        <w:pStyle w:val="Small"/>
      </w:pPr>
      <w:r>
        <w:t>[21] Levinson, S. C. (1983). Pragmatics. Cambridge Textbooks in Linguistics. Cambridge University Press. Chapter 2: Deixis. DOI: 10.1017/CBO9780511813313.</w:t>
      </w:r>
    </w:p>
    <w:p>
      <w:pPr>
        <w:pStyle w:val="Small"/>
      </w:pPr>
      <w:r>
        <w:t>[22] Kaplan, D. (1989). Demonstratives: An Essay on the Semantics, Logic, Metaphysics, and Epistemology of Demonstratives and Other Indexicals. In J. Almog, J. Perry, &amp; H. Wettstein (eds.), Themes from Kaplan, 481–563. Oxford University Press.</w:t>
      </w:r>
    </w:p>
    <w:p>
      <w:pPr>
        <w:pStyle w:val="Small"/>
      </w:pPr>
      <w:r>
        <w:t>[23] Грамота.ру. «ключ» в словарях: одна письменная форма и толкования, включающие устройство для запирания и родник/источник. https://gramota.ru/meta/klyuch . Дата обращения: 6 сентября 2026.</w:t>
      </w:r>
    </w:p>
    <w:p>
      <w:pPr>
        <w:pStyle w:val="Small"/>
      </w:pPr>
      <w:r>
        <w:t>[24] Грамота.ру. «замок» в словарях: за́мок / замо́к. https://gramota.ru/meta/zamok и https://gramota.ru/meta/zamok_1591.h2 . Дата обращения: 6 сентября 2026.</w:t>
      </w:r>
    </w:p>
    <w:p>
      <w:pPr>
        <w:pStyle w:val="Small"/>
      </w:pPr>
      <w:r>
        <w:t>[25] Кук, С. The P versus NP Problem [Проблема P против NP]. Институт математики Клэя. С. 1–4, 9–10. https://www.claymath.org/wp-content/uploads/2022/06/pvsnp.pdf . Дата обращения: 9 сентября 2026.</w:t>
      </w:r>
    </w:p>
    <w:p>
      <w:pPr>
        <w:pStyle w:val="Heading1"/>
        <w:pageBreakBefore w:val="0"/>
      </w:pPr>
      <w:r>
        <w:t>ПРЕДЫДУЩИЕ РАБОТЫ ЭТОЙ ИССЛЕДОВАТЕЛЬСКОЙ ЛИНИИ</w:t>
      </w:r>
    </w:p>
    <w:p>
      <w:pPr>
        <w:pStyle w:val="Small"/>
      </w:pPr>
      <w:r>
        <w:t>Шебетов, К. (2026). Строка не имеет полномочий: самоприменяемая граница между выходом ИИ и правом действовать. beforeword. https://beforeword.xyz/research/no-authority-in-the-output/</w:t>
      </w:r>
    </w:p>
    <w:p>
      <w:pPr>
        <w:pStyle w:val="Small"/>
      </w:pPr>
      <w:r>
        <w:t>Шебетов, К. (2026). Оценка не покидает запись: до слова «оценка» — граница между проверкой записи и установлением её значения. beforeword. https://beforeword.xyz/research/evaluation/</w:t>
      </w:r>
    </w:p>
    <w:p>
      <w:pPr>
        <w:pStyle w:val="Small"/>
      </w:pPr>
      <w:r>
        <w:t>Шебетов, К. (2026). «Ты меня понял?»: что именно предъявляет эта запись. beforeword. https://beforeword.xyz/research/understanding/</w:t>
      </w:r>
    </w:p>
    <w:p>
      <w:pPr>
        <w:pStyle w:val="Small"/>
      </w:pPr>
      <w:r>
        <w:t>Шебетов, К. (2026). «Вид со стороны» появляется позже: как частная запись получает общий статус. beforeword. https://beforeword.xyz/research/view-from-outside/</w:t>
      </w:r>
    </w:p>
    <w:p>
      <w:pPr>
        <w:pStyle w:val="Small"/>
      </w:pPr>
      <w:r>
        <w:t>Шебетов, К. (2026). «МАТЕМАТИКА ОПРОВЕРГНУТА» — написанная строка, не мировой вердикт. beforeword. https://beforeword.xyz/research/mathematics-phases-0-7/</w:t>
      </w:r>
    </w:p>
    <w:p>
      <w:pPr>
        <w:pStyle w:val="Small"/>
      </w:pPr>
      <w:r>
        <w:t>Шебетов, К. (2026). Чтение как клетка: конструктивное разделение самовозврата и доказательного допуска. beforeword. https://beforeword.xyz/research/reading-as-enclosure/</w:t>
      </w:r>
    </w:p>
    <w:p>
      <w:pPr>
        <w:pStyle w:val="Small"/>
      </w:pPr>
      <w:r>
        <w:t>Шебетов, К. (2026). Границы записи: метод порядка источников для проверки письменных атрибуций. beforeword. https://beforeword.xyz/research/record-boundaries/</w:t>
      </w:r>
    </w:p>
    <w:p>
      <w:pPr>
        <w:pStyle w:val="Small"/>
      </w:pPr>
      <w:r>
        <w:t>Эти записи приведены как родословная исследования, а не как доказательства центрального разреза.</w:t>
      </w:r>
    </w:p>
    <w:sectPr w:rsidR="00FC693F" w:rsidRPr="0006063C" w:rsidSect="00034616">
      <w:headerReference w:type="default" r:id="rId9"/>
      <w:footerReference w:type="default" r:id="rId10"/>
      <w:pgSz w:w="12240" w:h="15840"/>
      <w:pgMar w:top="1094"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46464"/>
        <w:sz w:val="15"/>
      </w:rPr>
      <w:t xml:space="preserve">beforeword.xyz/research/ ·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5F5F5F"/>
        <w:sz w:val="15"/>
      </w:rPr>
      <w:t>ТОЧКА · ГРАНИЦА ПРЕДЪЯВЛЕННОЙ ЗАПИСИ</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ru-RU"/>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Liberation Sans" w:hAnsi="Liberation Sans"/>
      <w:color w:val="000000"/>
      <w:sz w:val="19"/>
      <w:lang w:val="ru-RU" w:eastAsia="ru-RU" w:bidi="ru-RU"/>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ru-RU" w:eastAsia="ru-RU" w:bidi="ru-RU"/>
    </w:rPr>
  </w:style>
  <w:style w:type="character" w:customStyle="1" w:styleId="HeaderChar">
    <w:name w:val="Header Char"/>
    <w:basedOn w:val="DefaultParagraphFont"/>
    <w:link w:val="Header"/>
    <w:uiPriority w:val="99"/>
    <w:rsid w:val="00E618BF"/>
    <w:rPr>
      <w:lang w:val="ru-RU" w:eastAsia="ru-RU" w:bidi="ru-RU"/>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ru-RU" w:eastAsia="ru-RU" w:bidi="ru-RU"/>
    </w:rPr>
  </w:style>
  <w:style w:type="character" w:customStyle="1" w:styleId="FooterChar">
    <w:name w:val="Footer Char"/>
    <w:basedOn w:val="DefaultParagraphFont"/>
    <w:link w:val="Footer"/>
    <w:uiPriority w:val="99"/>
    <w:rsid w:val="00E618BF"/>
    <w:rPr>
      <w:lang w:val="ru-RU" w:eastAsia="ru-RU" w:bidi="ru-RU"/>
    </w:rPr>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Liberation Sans" w:hAnsi="Liberation Sans"/>
      <w:b/>
      <w:bCs/>
      <w:color w:val="000000"/>
      <w:sz w:val="31"/>
      <w:szCs w:val="28"/>
      <w:lang w:val="ru-RU" w:eastAsia="ru-RU" w:bidi="ru-RU"/>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Liberation Sans" w:hAnsi="Liberation Sans"/>
      <w:b/>
      <w:bCs/>
      <w:color w:val="000000"/>
      <w:sz w:val="23"/>
      <w:szCs w:val="26"/>
      <w:lang w:val="ru-RU" w:eastAsia="ru-RU" w:bidi="ru-RU"/>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Liberation Sans" w:hAnsi="Liberation Sans"/>
      <w:b/>
      <w:bCs/>
      <w:color w:val="000000"/>
      <w:sz w:val="20"/>
      <w:lang w:val="ru-RU" w:eastAsia="ru-RU" w:bidi="ru-RU"/>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ru-RU" w:eastAsia="ru-RU" w:bidi="ru-RU"/>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ru-RU" w:eastAsia="ru-RU" w:bidi="ru-RU"/>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ru-RU" w:eastAsia="ru-RU" w:bidi="ru-RU"/>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ru-RU" w:eastAsia="ru-RU" w:bidi="ru-RU"/>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ru-RU" w:eastAsia="ru-RU" w:bidi="ru-RU"/>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ru-RU" w:eastAsia="ru-RU" w:bidi="ru-RU"/>
    </w:rPr>
  </w:style>
  <w:style w:type="character" w:default="1" w:styleId="DefaultParagraphFont">
    <w:name w:val="Default Paragraph Font"/>
    <w:uiPriority w:val="1"/>
    <w:semiHidden/>
    <w:unhideWhenUsed/>
    <w:rPr>
      <w:lang w:val="ru-RU" w:eastAsia="ru-RU" w:bidi="ru-RU"/>
    </w:rPr>
  </w:style>
  <w:style w:type="table" w:default="1" w:styleId="TableNormal">
    <w:name w:val="Normal Table"/>
    <w:uiPriority w:val="99"/>
    <w:semiHidden/>
    <w:unhideWhenUsed/>
    <w:rPr>
      <w:lang w:val="ru-RU" w:eastAsia="ru-RU" w:bidi="ru-RU"/>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ru-RU" w:eastAsia="ru-RU" w:bidi="ru-RU"/>
    </w:rPr>
  </w:style>
  <w:style w:type="paragraph" w:styleId="NoSpacing">
    <w:name w:val="No Spacing"/>
    <w:uiPriority w:val="1"/>
    <w:qFormat/>
    <w:rsid w:val="00FC693F"/>
    <w:pPr>
      <w:spacing w:after="0" w:line="240" w:lineRule="auto"/>
    </w:pPr>
    <w:rPr>
      <w:lang w:val="ru-RU" w:eastAsia="ru-RU" w:bidi="ru-RU"/>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ru-RU" w:eastAsia="ru-RU" w:bidi="ru-RU"/>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ru-RU" w:eastAsia="ru-RU" w:bidi="ru-RU"/>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ru-RU" w:eastAsia="ru-RU" w:bidi="ru-RU"/>
    </w:rPr>
  </w:style>
  <w:style w:type="paragraph" w:styleId="Title">
    <w:name w:val="Title"/>
    <w:next w:val="Normal"/>
    <w:link w:val="TitleChar"/>
    <w:uiPriority w:val="10"/>
    <w:qFormat/>
    <w:rsid w:val="00FC693F"/>
    <w:pPr>
      <w:spacing w:after="100"/>
    </w:pPr>
    <w:rPr>
      <w:rFonts w:ascii="Liberation Sans" w:hAnsi="Liberation Sans"/>
      <w:b/>
      <w:color w:val="000000"/>
      <w:sz w:val="56"/>
      <w:lang w:val="ru-RU" w:eastAsia="ru-RU" w:bidi="ru-R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ru-RU" w:eastAsia="ru-RU" w:bidi="ru-RU"/>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ru-RU" w:eastAsia="ru-RU" w:bidi="ru-RU"/>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ru-RU" w:eastAsia="ru-RU" w:bidi="ru-RU"/>
    </w:rPr>
  </w:style>
  <w:style w:type="paragraph" w:styleId="ListParagraph">
    <w:name w:val="List Paragraph"/>
    <w:basedOn w:val="Normal"/>
    <w:uiPriority w:val="34"/>
    <w:qFormat/>
    <w:rsid w:val="00FC693F"/>
    <w:pPr>
      <w:ind w:left="720"/>
      <w:contextualSpacing/>
    </w:pPr>
    <w:rPr>
      <w:lang w:val="ru-RU" w:eastAsia="ru-RU" w:bidi="ru-RU"/>
    </w:rPr>
  </w:style>
  <w:style w:type="paragraph" w:styleId="BodyText">
    <w:name w:val="Body Text"/>
    <w:basedOn w:val="Normal"/>
    <w:link w:val="BodyTextChar"/>
    <w:uiPriority w:val="99"/>
    <w:unhideWhenUsed/>
    <w:rsid w:val="00AA1D8D"/>
    <w:pPr>
      <w:spacing w:after="120"/>
    </w:pPr>
    <w:rPr>
      <w:lang w:val="ru-RU" w:eastAsia="ru-RU" w:bidi="ru-RU"/>
    </w:rPr>
  </w:style>
  <w:style w:type="character" w:customStyle="1" w:styleId="BodyTextChar">
    <w:name w:val="Body Text Char"/>
    <w:basedOn w:val="DefaultParagraphFont"/>
    <w:link w:val="BodyText"/>
    <w:uiPriority w:val="99"/>
    <w:rsid w:val="00AA1D8D"/>
    <w:rPr>
      <w:lang w:val="ru-RU" w:eastAsia="ru-RU" w:bidi="ru-RU"/>
    </w:rPr>
  </w:style>
  <w:style w:type="paragraph" w:styleId="BodyText2">
    <w:name w:val="Body Text 2"/>
    <w:basedOn w:val="Normal"/>
    <w:link w:val="BodyText2Char"/>
    <w:uiPriority w:val="99"/>
    <w:unhideWhenUsed/>
    <w:rsid w:val="00AA1D8D"/>
    <w:pPr>
      <w:spacing w:after="120" w:line="480" w:lineRule="auto"/>
    </w:pPr>
    <w:rPr>
      <w:lang w:val="ru-RU" w:eastAsia="ru-RU" w:bidi="ru-RU"/>
    </w:rPr>
  </w:style>
  <w:style w:type="character" w:customStyle="1" w:styleId="BodyText2Char">
    <w:name w:val="Body Text 2 Char"/>
    <w:basedOn w:val="DefaultParagraphFont"/>
    <w:link w:val="BodyText2"/>
    <w:uiPriority w:val="99"/>
    <w:rsid w:val="00AA1D8D"/>
    <w:rPr>
      <w:lang w:val="ru-RU" w:eastAsia="ru-RU" w:bidi="ru-RU"/>
    </w:rPr>
  </w:style>
  <w:style w:type="paragraph" w:styleId="BodyText3">
    <w:name w:val="Body Text 3"/>
    <w:basedOn w:val="Normal"/>
    <w:link w:val="BodyText3Char"/>
    <w:uiPriority w:val="99"/>
    <w:unhideWhenUsed/>
    <w:rsid w:val="00AA1D8D"/>
    <w:pPr>
      <w:spacing w:after="120"/>
    </w:pPr>
    <w:rPr>
      <w:sz w:val="16"/>
      <w:szCs w:val="16"/>
      <w:lang w:val="ru-RU" w:eastAsia="ru-RU" w:bidi="ru-RU"/>
    </w:rPr>
  </w:style>
  <w:style w:type="character" w:customStyle="1" w:styleId="BodyText3Char">
    <w:name w:val="Body Text 3 Char"/>
    <w:basedOn w:val="DefaultParagraphFont"/>
    <w:link w:val="BodyText3"/>
    <w:uiPriority w:val="99"/>
    <w:rsid w:val="00AA1D8D"/>
    <w:rPr>
      <w:sz w:val="16"/>
      <w:szCs w:val="16"/>
      <w:lang w:val="ru-RU" w:eastAsia="ru-RU" w:bidi="ru-RU"/>
    </w:rPr>
  </w:style>
  <w:style w:type="paragraph" w:styleId="List">
    <w:name w:val="List"/>
    <w:basedOn w:val="Normal"/>
    <w:uiPriority w:val="99"/>
    <w:unhideWhenUsed/>
    <w:rsid w:val="00AA1D8D"/>
    <w:pPr>
      <w:ind w:left="360" w:hanging="360"/>
      <w:contextualSpacing/>
    </w:pPr>
    <w:rPr>
      <w:lang w:val="ru-RU" w:eastAsia="ru-RU" w:bidi="ru-RU"/>
    </w:rPr>
  </w:style>
  <w:style w:type="paragraph" w:styleId="List2">
    <w:name w:val="List 2"/>
    <w:basedOn w:val="Normal"/>
    <w:uiPriority w:val="99"/>
    <w:unhideWhenUsed/>
    <w:rsid w:val="00326F90"/>
    <w:pPr>
      <w:ind w:left="720" w:hanging="360"/>
      <w:contextualSpacing/>
    </w:pPr>
    <w:rPr>
      <w:lang w:val="ru-RU" w:eastAsia="ru-RU" w:bidi="ru-RU"/>
    </w:rPr>
  </w:style>
  <w:style w:type="paragraph" w:styleId="List3">
    <w:name w:val="List 3"/>
    <w:basedOn w:val="Normal"/>
    <w:uiPriority w:val="99"/>
    <w:unhideWhenUsed/>
    <w:rsid w:val="00326F90"/>
    <w:pPr>
      <w:ind w:left="1080" w:hanging="360"/>
      <w:contextualSpacing/>
    </w:pPr>
    <w:rPr>
      <w:lang w:val="ru-RU" w:eastAsia="ru-RU" w:bidi="ru-RU"/>
    </w:rPr>
  </w:style>
  <w:style w:type="paragraph" w:styleId="ListBullet">
    <w:name w:val="List Bullet"/>
    <w:basedOn w:val="Normal"/>
    <w:uiPriority w:val="99"/>
    <w:unhideWhenUsed/>
    <w:rsid w:val="00326F90"/>
    <w:pPr>
      <w:numPr>
        <w:numId w:val="1"/>
      </w:numPr>
      <w:contextualSpacing/>
    </w:pPr>
    <w:rPr>
      <w:lang w:val="ru-RU" w:eastAsia="ru-RU" w:bidi="ru-RU"/>
    </w:rPr>
  </w:style>
  <w:style w:type="paragraph" w:styleId="ListBullet2">
    <w:name w:val="List Bullet 2"/>
    <w:basedOn w:val="Normal"/>
    <w:uiPriority w:val="99"/>
    <w:unhideWhenUsed/>
    <w:rsid w:val="00326F90"/>
    <w:pPr>
      <w:numPr>
        <w:numId w:val="2"/>
      </w:numPr>
      <w:contextualSpacing/>
    </w:pPr>
    <w:rPr>
      <w:lang w:val="ru-RU" w:eastAsia="ru-RU" w:bidi="ru-RU"/>
    </w:rPr>
  </w:style>
  <w:style w:type="paragraph" w:styleId="ListBullet3">
    <w:name w:val="List Bullet 3"/>
    <w:basedOn w:val="Normal"/>
    <w:uiPriority w:val="99"/>
    <w:unhideWhenUsed/>
    <w:rsid w:val="00326F90"/>
    <w:pPr>
      <w:numPr>
        <w:numId w:val="3"/>
      </w:numPr>
      <w:contextualSpacing/>
    </w:pPr>
    <w:rPr>
      <w:lang w:val="ru-RU" w:eastAsia="ru-RU" w:bidi="ru-RU"/>
    </w:rPr>
  </w:style>
  <w:style w:type="paragraph" w:styleId="ListNumber">
    <w:name w:val="List Number"/>
    <w:basedOn w:val="Normal"/>
    <w:uiPriority w:val="99"/>
    <w:unhideWhenUsed/>
    <w:rsid w:val="00326F90"/>
    <w:pPr>
      <w:numPr>
        <w:numId w:val="5"/>
      </w:numPr>
      <w:contextualSpacing/>
    </w:pPr>
    <w:rPr>
      <w:lang w:val="ru-RU" w:eastAsia="ru-RU" w:bidi="ru-RU"/>
    </w:rPr>
  </w:style>
  <w:style w:type="paragraph" w:styleId="ListNumber2">
    <w:name w:val="List Number 2"/>
    <w:basedOn w:val="Normal"/>
    <w:uiPriority w:val="99"/>
    <w:unhideWhenUsed/>
    <w:rsid w:val="0029639D"/>
    <w:pPr>
      <w:numPr>
        <w:numId w:val="6"/>
      </w:numPr>
      <w:contextualSpacing/>
    </w:pPr>
    <w:rPr>
      <w:lang w:val="ru-RU" w:eastAsia="ru-RU" w:bidi="ru-RU"/>
    </w:rPr>
  </w:style>
  <w:style w:type="paragraph" w:styleId="ListNumber3">
    <w:name w:val="List Number 3"/>
    <w:basedOn w:val="Normal"/>
    <w:uiPriority w:val="99"/>
    <w:unhideWhenUsed/>
    <w:rsid w:val="0029639D"/>
    <w:pPr>
      <w:numPr>
        <w:numId w:val="7"/>
      </w:numPr>
      <w:contextualSpacing/>
    </w:pPr>
    <w:rPr>
      <w:lang w:val="ru-RU" w:eastAsia="ru-RU" w:bidi="ru-RU"/>
    </w:rPr>
  </w:style>
  <w:style w:type="paragraph" w:styleId="ListContinue">
    <w:name w:val="List Continue"/>
    <w:basedOn w:val="Normal"/>
    <w:uiPriority w:val="99"/>
    <w:unhideWhenUsed/>
    <w:rsid w:val="0029639D"/>
    <w:pPr>
      <w:spacing w:after="120"/>
      <w:ind w:left="360"/>
      <w:contextualSpacing/>
    </w:pPr>
    <w:rPr>
      <w:lang w:val="ru-RU" w:eastAsia="ru-RU" w:bidi="ru-RU"/>
    </w:rPr>
  </w:style>
  <w:style w:type="paragraph" w:styleId="ListContinue2">
    <w:name w:val="List Continue 2"/>
    <w:basedOn w:val="Normal"/>
    <w:uiPriority w:val="99"/>
    <w:unhideWhenUsed/>
    <w:rsid w:val="0029639D"/>
    <w:pPr>
      <w:spacing w:after="120"/>
      <w:ind w:left="720"/>
      <w:contextualSpacing/>
    </w:pPr>
    <w:rPr>
      <w:lang w:val="ru-RU" w:eastAsia="ru-RU" w:bidi="ru-RU"/>
    </w:rPr>
  </w:style>
  <w:style w:type="paragraph" w:styleId="ListContinue3">
    <w:name w:val="List Continue 3"/>
    <w:basedOn w:val="Normal"/>
    <w:uiPriority w:val="99"/>
    <w:unhideWhenUsed/>
    <w:rsid w:val="0029639D"/>
    <w:pPr>
      <w:spacing w:after="120"/>
      <w:ind w:left="1080"/>
      <w:contextualSpacing/>
    </w:pPr>
    <w:rPr>
      <w:lang w:val="ru-RU" w:eastAsia="ru-RU" w:bidi="ru-RU"/>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ru-RU" w:eastAsia="ru-RU" w:bidi="ru-RU"/>
    </w:rPr>
  </w:style>
  <w:style w:type="character" w:customStyle="1" w:styleId="MacroTextChar">
    <w:name w:val="Macro Text Char"/>
    <w:basedOn w:val="DefaultParagraphFont"/>
    <w:link w:val="MacroText"/>
    <w:uiPriority w:val="99"/>
    <w:rsid w:val="0029639D"/>
    <w:rPr>
      <w:rFonts w:ascii="Courier" w:hAnsi="Courier"/>
      <w:sz w:val="20"/>
      <w:szCs w:val="20"/>
      <w:lang w:val="ru-RU" w:eastAsia="ru-RU" w:bidi="ru-RU"/>
    </w:rPr>
  </w:style>
  <w:style w:type="paragraph" w:styleId="Quote">
    <w:name w:val="Quote"/>
    <w:basedOn w:val="Normal"/>
    <w:next w:val="Normal"/>
    <w:link w:val="QuoteChar"/>
    <w:uiPriority w:val="29"/>
    <w:qFormat/>
    <w:rsid w:val="00FC693F"/>
    <w:rPr>
      <w:i/>
      <w:iCs/>
      <w:color w:val="000000" w:themeColor="text1"/>
      <w:lang w:val="ru-RU" w:eastAsia="ru-RU" w:bidi="ru-RU"/>
    </w:rPr>
  </w:style>
  <w:style w:type="character" w:customStyle="1" w:styleId="QuoteChar">
    <w:name w:val="Quote Char"/>
    <w:basedOn w:val="DefaultParagraphFont"/>
    <w:link w:val="Quote"/>
    <w:uiPriority w:val="29"/>
    <w:rsid w:val="00FC693F"/>
    <w:rPr>
      <w:i/>
      <w:iCs/>
      <w:color w:val="000000" w:themeColor="text1"/>
      <w:lang w:val="ru-RU" w:eastAsia="ru-RU" w:bidi="ru-RU"/>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ru-RU" w:eastAsia="ru-RU" w:bidi="ru-RU"/>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ru-RU" w:eastAsia="ru-RU" w:bidi="ru-RU"/>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ru-RU" w:eastAsia="ru-RU" w:bidi="ru-RU"/>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ru-RU" w:eastAsia="ru-RU" w:bidi="ru-RU"/>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ru-RU" w:eastAsia="ru-RU" w:bidi="ru-RU"/>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ru-RU" w:eastAsia="ru-RU" w:bidi="ru-RU"/>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ru-RU" w:eastAsia="ru-RU" w:bidi="ru-RU"/>
    </w:rPr>
  </w:style>
  <w:style w:type="character" w:styleId="Strong">
    <w:name w:val="Strong"/>
    <w:basedOn w:val="DefaultParagraphFont"/>
    <w:uiPriority w:val="22"/>
    <w:qFormat/>
    <w:rsid w:val="00FC693F"/>
    <w:rPr>
      <w:b/>
      <w:bCs/>
      <w:lang w:val="ru-RU" w:eastAsia="ru-RU" w:bidi="ru-RU"/>
    </w:rPr>
  </w:style>
  <w:style w:type="character" w:styleId="Emphasis">
    <w:name w:val="Emphasis"/>
    <w:basedOn w:val="DefaultParagraphFont"/>
    <w:uiPriority w:val="20"/>
    <w:qFormat/>
    <w:rsid w:val="00FC693F"/>
    <w:rPr>
      <w:i/>
      <w:iCs/>
      <w:lang w:val="ru-RU" w:eastAsia="ru-RU" w:bidi="ru-RU"/>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ru-RU" w:eastAsia="ru-RU" w:bidi="ru-RU"/>
    </w:rPr>
  </w:style>
  <w:style w:type="character" w:customStyle="1" w:styleId="IntenseQuoteChar">
    <w:name w:val="Intense Quote Char"/>
    <w:basedOn w:val="DefaultParagraphFont"/>
    <w:link w:val="IntenseQuote"/>
    <w:uiPriority w:val="30"/>
    <w:rsid w:val="00FC693F"/>
    <w:rPr>
      <w:b/>
      <w:bCs/>
      <w:i/>
      <w:iCs/>
      <w:color w:val="4F81BD" w:themeColor="accent1"/>
      <w:lang w:val="ru-RU" w:eastAsia="ru-RU" w:bidi="ru-RU"/>
    </w:rPr>
  </w:style>
  <w:style w:type="character" w:styleId="SubtleEmphasis">
    <w:name w:val="Subtle Emphasis"/>
    <w:basedOn w:val="DefaultParagraphFont"/>
    <w:uiPriority w:val="19"/>
    <w:qFormat/>
    <w:rsid w:val="00FC693F"/>
    <w:rPr>
      <w:i/>
      <w:iCs/>
      <w:color w:val="808080" w:themeColor="text1" w:themeTint="7F"/>
      <w:lang w:val="ru-RU" w:eastAsia="ru-RU" w:bidi="ru-RU"/>
    </w:rPr>
  </w:style>
  <w:style w:type="character" w:styleId="IntenseEmphasis">
    <w:name w:val="Intense Emphasis"/>
    <w:basedOn w:val="DefaultParagraphFont"/>
    <w:uiPriority w:val="21"/>
    <w:qFormat/>
    <w:rsid w:val="00FC693F"/>
    <w:rPr>
      <w:b/>
      <w:bCs/>
      <w:i/>
      <w:iCs/>
      <w:color w:val="4F81BD" w:themeColor="accent1"/>
      <w:lang w:val="ru-RU" w:eastAsia="ru-RU" w:bidi="ru-RU"/>
    </w:rPr>
  </w:style>
  <w:style w:type="character" w:styleId="SubtleReference">
    <w:name w:val="Subtle Reference"/>
    <w:basedOn w:val="DefaultParagraphFont"/>
    <w:uiPriority w:val="31"/>
    <w:qFormat/>
    <w:rsid w:val="00FC693F"/>
    <w:rPr>
      <w:smallCaps/>
      <w:color w:val="C0504D" w:themeColor="accent2"/>
      <w:u w:val="single"/>
      <w:lang w:val="ru-RU" w:eastAsia="ru-RU" w:bidi="ru-RU"/>
    </w:rPr>
  </w:style>
  <w:style w:type="character" w:styleId="IntenseReference">
    <w:name w:val="Intense Reference"/>
    <w:basedOn w:val="DefaultParagraphFont"/>
    <w:uiPriority w:val="32"/>
    <w:qFormat/>
    <w:rsid w:val="00FC693F"/>
    <w:rPr>
      <w:b/>
      <w:bCs/>
      <w:smallCaps/>
      <w:color w:val="C0504D" w:themeColor="accent2"/>
      <w:spacing w:val="5"/>
      <w:u w:val="single"/>
      <w:lang w:val="ru-RU" w:eastAsia="ru-RU" w:bidi="ru-RU"/>
    </w:rPr>
  </w:style>
  <w:style w:type="character" w:styleId="BookTitle">
    <w:name w:val="Book Title"/>
    <w:basedOn w:val="DefaultParagraphFont"/>
    <w:uiPriority w:val="33"/>
    <w:qFormat/>
    <w:rsid w:val="00FC693F"/>
    <w:rPr>
      <w:b/>
      <w:bCs/>
      <w:smallCaps/>
      <w:spacing w:val="5"/>
      <w:lang w:val="ru-RU" w:eastAsia="ru-RU" w:bidi="ru-RU"/>
    </w:rPr>
  </w:style>
  <w:style w:type="paragraph" w:styleId="TOCHeading">
    <w:name w:val="TOC Heading"/>
    <w:basedOn w:val="Heading1"/>
    <w:next w:val="Normal"/>
    <w:uiPriority w:val="39"/>
    <w:semiHidden/>
    <w:unhideWhenUsed/>
    <w:qFormat/>
    <w:rsid w:val="00FC693F"/>
    <w:pPr>
      <w:outlineLvl w:val="9"/>
    </w:pPr>
    <w:rPr>
      <w:lang w:val="ru-RU" w:eastAsia="ru-RU" w:bidi="ru-RU"/>
    </w:rPr>
  </w:style>
  <w:style w:type="table" w:styleId="TableGrid">
    <w:name w:val="Table Grid"/>
    <w:basedOn w:val="TableNormal"/>
    <w:uiPriority w:val="59"/>
    <w:rsid w:val="00FC693F"/>
    <w:pPr>
      <w:spacing w:after="0" w:line="240" w:lineRule="auto"/>
    </w:pPr>
    <w:rPr>
      <w:lang w:val="ru-RU"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ru-RU" w:eastAsia="ru-RU" w:bidi="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ru-RU" w:eastAsia="ru-RU" w:bidi="ru-R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ru-RU" w:eastAsia="ru-RU" w:bidi="ru-R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ru-RU" w:eastAsia="ru-RU" w:bidi="ru-R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ru-RU" w:eastAsia="ru-RU" w:bidi="ru-R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ru-RU" w:eastAsia="ru-RU" w:bidi="ru-R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ru-RU" w:eastAsia="ru-RU" w:bidi="ru-R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ru-RU" w:eastAsia="ru-RU" w:bidi="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ru-RU" w:eastAsia="ru-RU" w:bidi="ru-R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ru-RU" w:eastAsia="ru-RU" w:bidi="ru-R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ru-RU" w:eastAsia="ru-RU" w:bidi="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ru-RU" w:eastAsia="ru-RU" w:bidi="ru-R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ru-RU" w:eastAsia="ru-RU" w:bidi="ru-R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ru-RU" w:eastAsia="ru-RU" w:bidi="ru-R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ru-RU" w:eastAsia="ru-RU" w:bidi="ru-R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ru-RU" w:eastAsia="ru-RU" w:bidi="ru-RU"/>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ru-RU" w:eastAsia="ru-RU" w:bidi="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ru-RU" w:eastAsia="ru-RU" w:bidi="ru-RU"/>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ru-RU" w:eastAsia="ru-RU" w:bidi="ru-RU"/>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ru-RU" w:eastAsia="ru-RU" w:bidi="ru-RU"/>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ru-RU" w:eastAsia="ru-RU" w:bidi="ru-RU"/>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ru-RU" w:eastAsia="ru-RU" w:bidi="ru-RU"/>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ru-RU" w:eastAsia="ru-RU" w:bidi="ru-RU"/>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ru-RU" w:eastAsia="ru-RU" w:bidi="ru-RU"/>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ru-RU" w:eastAsia="ru-RU" w:bidi="ru-RU"/>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pPr>
      <w:spacing w:after="100"/>
    </w:pPr>
    <w:rPr>
      <w:rFonts w:ascii="Liberation Sans" w:hAnsi="Liberation Sans"/>
      <w:b/>
      <w:color w:val="000000"/>
      <w:sz w:val="56"/>
      <w:lang w:val="ru-RU" w:eastAsia="ru-RU" w:bidi="ru-RU"/>
    </w:rPr>
  </w:style>
  <w:style w:type="paragraph" w:customStyle="1" w:styleId="Kicker">
    <w:name w:val="Kicker"/>
    <w:pPr>
      <w:spacing w:after="100"/>
    </w:pPr>
    <w:rPr>
      <w:rFonts w:ascii="Liberation Sans" w:hAnsi="Liberation Sans"/>
      <w:b/>
      <w:color w:val="000000"/>
      <w:sz w:val="34"/>
      <w:lang w:val="ru-RU" w:eastAsia="ru-RU" w:bidi="ru-RU"/>
    </w:rPr>
  </w:style>
  <w:style w:type="paragraph" w:customStyle="1" w:styleId="Stimulus">
    <w:name w:val="Stimulus"/>
    <w:pPr>
      <w:keepLines/>
      <w:spacing w:after="160" w:before="160" w:line="264" w:lineRule="auto"/>
      <w:jc w:val="center"/>
    </w:pPr>
    <w:rPr>
      <w:rFonts w:ascii="Liberation Sans" w:hAnsi="Liberation Sans"/>
      <w:b/>
      <w:color w:val="000000"/>
      <w:sz w:val="40"/>
      <w:lang w:val="ru-RU" w:eastAsia="ru-RU" w:bidi="ru-RU"/>
    </w:rPr>
  </w:style>
  <w:style w:type="paragraph" w:customStyle="1" w:styleId="Knife">
    <w:name w:val="Knife"/>
    <w:pPr>
      <w:spacing w:after="160" w:before="160"/>
    </w:pPr>
    <w:rPr>
      <w:rFonts w:ascii="Liberation Sans" w:hAnsi="Liberation Sans"/>
      <w:b/>
      <w:color w:val="000000"/>
      <w:sz w:val="28"/>
      <w:lang w:val="ru-RU" w:eastAsia="ru-RU" w:bidi="ru-RU"/>
    </w:rPr>
  </w:style>
  <w:style w:type="paragraph" w:customStyle="1" w:styleId="Small">
    <w:name w:val="Small"/>
    <w:pPr>
      <w:spacing w:after="20"/>
    </w:pPr>
    <w:rPr>
      <w:rFonts w:ascii="Liberation Sans" w:hAnsi="Liberation Sans"/>
      <w:b w:val="0"/>
      <w:color w:val="000000"/>
      <w:sz w:val="14"/>
      <w:lang w:val="ru-RU" w:eastAsia="ru-RU" w:bidi="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beforeword.xyz/research/full-stop/che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ns0:Properties xmlns:ns0="http://schemas.openxmlformats.org/officeDocument/2006/extended-properties" xmlns:ns1="http://schemas.openxmlformats.org/officeDocument/2006/docPropsVTypes">
  <ns0:Template>Normal.dotm</ns0:Template>
  <ns0:TotalTime>0</ns0:TotalTime>
  <ns0:Pages>11</ns0:Pages>
  <ns0:Words>4160</ns0:Words>
  <ns0:Characters>31391</ns0:Characters>
  <ns0:Application>beforeword publication workflow</ns0:Application>
  <ns0:DocSecurity>0</ns0:DocSecurity>
  <ns0:Lines>204</ns0:Lines>
  <ns0:Paragraphs>204</ns0:Paragraphs>
  <ns0:ScaleCrop>false</ns0:ScaleCrop>
  <ns0:HeadingPairs>
    <ns1:vector size="2" baseType="variant">
      <ns1:variant>
        <ns1:lpstr>Title</ns1:lpstr>
      </ns1:variant>
      <ns1:variant>
        <ns1:i4>1</ns1:i4>
      </ns1:variant>
    </ns1:vector>
  </ns0:HeadingPairs>
  <ns0:TitlesOfParts>
    <ns1:vector size="1" baseType="lpstr">
      <ns1:lpstr/>
    </ns1:vector>
  </ns0:TitlesOfParts>
  <ns0:Manager/>
  <ns0:Company/>
  <ns0:LinksUpToDate>false</ns0:LinksUpToDate>
  <ns0:CharactersWithSpaces>31594</ns0:CharactersWithSpaces>
  <ns0:SharedDoc>false</ns0:SharedDoc>
  <ns0:HyperlinkBase/>
  <ns0:HyperlinksChanged>false</ns0:HyperlinksChanged>
  <ns0:AppVersion>1.0</ns0:AppVersion>
</ns0:Properties>
</file>

<file path=docProps/core.xml><?xml version="1.0" encoding="utf-8"?>
<ns0:coreProperties xmlns:dc="http://purl.org/dc/elements/1.1/" xmlns:ns0="http://schemas.openxmlformats.org/package/2006/metadata/core-properties" xmlns:ns2="http://purl.org/dc/terms/" xmlns:xsi="http://www.w3.org/2001/XMLSchema-instance">
  <dc:title>ТОЧКА: Граница предъявленной записи</dc:title>
  <dc:subject>Самоприменяемая граница между письменной формой, поздним чтением и последующим объяснением перехода</dc:subject>
  <dc:creator>Кирилл Шебетов</dc:creator>
  <ns0:keywords>граница записи; я; любовь; чувство; меня; дейксис; индексальность; ключ; чтение; переход; причинная граница; самопроверка</ns0:keywords>
  <dc:description/>
  <ns0:lastModifiedBy>Кирилл Шебетов</ns0:lastModifiedBy>
  <ns0:revision>4</ns0:revision>
  <ns2:created xsi:type="dcterms:W3CDTF">2026-09-06T00:00:00Z</ns2:created>
  <ns2:modified xsi:type="dcterms:W3CDTF">2026-09-09T00:00:00Z</ns2:modified>
  <ns0:category>research article</ns0:category>
  <dc:language>ru-RU</dc:language>
</ns0:coreProperties>
</file>