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mall"/>
      </w:pPr>
      <w:r>
        <w:t>beforeword</w:t>
      </w:r>
    </w:p>
    <w:p>
      <w:pPr>
        <w:pStyle w:val="Title"/>
      </w:pPr>
      <w:r>
        <w:t>Слова о себе и решения по записям</w:t>
      </w:r>
    </w:p>
    <w:p>
      <w:pPr>
        <w:pStyle w:val="Subtitle"/>
      </w:pPr>
      <w:r>
        <w:t>Выученные слова, самоописание и основания требований. Публичное предложение с применением к ИИ и AGI.</w:t>
      </w:r>
    </w:p>
    <w:p>
      <w:pPr>
        <w:pStyle w:val="Small"/>
      </w:pPr>
      <w:r>
        <w:t>Кирилл Шебетов</w:t>
      </w:r>
    </w:p>
    <w:p>
      <w:pPr>
        <w:pStyle w:val="Small"/>
      </w:pPr>
      <w:r>
        <w:t>2026-10-03 · Версия 1.4 · Публичное предложение</w:t>
      </w:r>
    </w:p>
    <w:p>
      <w:r>
        <w:t>Что написано? Почему эти слова предлагают принять как то, чем ты являешься, или применить к другому? Чем обосновывают следующее требование? Разбор продолжается через слова самого объяснения — «основание», «правило», «решение».</w:t>
      </w:r>
    </w:p>
    <w:p>
      <w:r>
        <w:br w:type="page"/>
      </w:r>
    </w:p>
    <w:p>
      <w:pPr>
        <w:pStyle w:val="Heading1"/>
      </w:pPr>
      <w:r>
        <w:t>Содержание</w:t>
      </w:r>
    </w:p>
    <w:p>
      <w:pPr>
        <w:pStyle w:val="TOCEntry"/>
      </w:pPr>
      <w:r/>
      <w:hyperlink w:anchor="00_reading">
        <w:r>
          <w:rPr>
            <w:color w:val="000000"/>
            <w:rFonts w:ascii="DejaVu Sans" w:hAnsi="DejaVu Sans"/>
            <w:sz w:val="20"/>
          </w:rPr>
          <w:t>00  Сначала написанное и предложенное прочтение</w:t>
        </w:r>
      </w:hyperlink>
    </w:p>
    <w:p>
      <w:pPr>
        <w:pStyle w:val="TOCEntry"/>
      </w:pPr>
      <w:r/>
      <w:hyperlink w:anchor="01_writing">
        <w:r>
          <w:rPr>
            <w:color w:val="000000"/>
            <w:rFonts w:ascii="DejaVu Sans" w:hAnsi="DejaVu Sans"/>
            <w:sz w:val="20"/>
          </w:rPr>
          <w:t>01  Что добавляется к написанной форме</w:t>
        </w:r>
      </w:hyperlink>
    </w:p>
    <w:p>
      <w:pPr>
        <w:pStyle w:val="TOCEntry"/>
      </w:pPr>
      <w:r/>
      <w:hyperlink w:anchor="02_learned">
        <w:r>
          <w:rPr>
            <w:color w:val="000000"/>
            <w:rFonts w:ascii="DejaVu Sans" w:hAnsi="DejaVu Sans"/>
            <w:sz w:val="20"/>
          </w:rPr>
          <w:t>02  Обучение говорить и обучение писать</w:t>
        </w:r>
      </w:hyperlink>
    </w:p>
    <w:p>
      <w:pPr>
        <w:pStyle w:val="TOCEntry"/>
      </w:pPr>
      <w:r/>
      <w:hyperlink w:anchor="03_self">
        <w:r>
          <w:rPr>
            <w:color w:val="000000"/>
            <w:rFonts w:ascii="DejaVu Sans" w:hAnsi="DejaVu Sans"/>
            <w:sz w:val="20"/>
          </w:rPr>
          <w:t>03  Когда написанное предлагают принять за себя</w:t>
        </w:r>
      </w:hyperlink>
    </w:p>
    <w:p>
      <w:pPr>
        <w:pStyle w:val="TOCEntry"/>
      </w:pPr>
      <w:r/>
      <w:hyperlink w:anchor="04_other">
        <w:r>
          <w:rPr>
            <w:color w:val="000000"/>
            <w:rFonts w:ascii="DejaVu Sans" w:hAnsi="DejaVu Sans"/>
            <w:sz w:val="20"/>
          </w:rPr>
          <w:t>04  Как описание другого используют для требования</w:t>
        </w:r>
      </w:hyperlink>
    </w:p>
    <w:p>
      <w:pPr>
        <w:pStyle w:val="TOCEntry"/>
      </w:pPr>
      <w:r/>
      <w:hyperlink w:anchor="05_same">
        <w:r>
          <w:rPr>
            <w:color w:val="000000"/>
            <w:rFonts w:ascii="DejaVu Sans" w:hAnsi="DejaVu Sans"/>
            <w:sz w:val="20"/>
          </w:rPr>
          <w:t>05  Одинаковая строка под разными подписями</w:t>
        </w:r>
      </w:hyperlink>
    </w:p>
    <w:p>
      <w:pPr>
        <w:pStyle w:val="TOCEntry"/>
      </w:pPr>
      <w:r/>
      <w:hyperlink w:anchor="06_media">
        <w:r>
          <w:rPr>
            <w:color w:val="000000"/>
            <w:rFonts w:ascii="DejaVu Sans" w:hAnsi="DejaVu Sans"/>
            <w:sz w:val="20"/>
          </w:rPr>
          <w:t>06  «Аудио», «видеозапись» и описания материалов</w:t>
        </w:r>
      </w:hyperlink>
    </w:p>
    <w:p>
      <w:pPr>
        <w:pStyle w:val="TOCEntry"/>
      </w:pPr>
      <w:r/>
      <w:hyperlink w:anchor="07_grounds">
        <w:r>
          <w:rPr>
            <w:color w:val="000000"/>
            <w:rFonts w:ascii="DejaVu Sans" w:hAnsi="DejaVu Sans"/>
            <w:sz w:val="20"/>
          </w:rPr>
          <w:t>07  Объясняющие слова не получают исключения</w:t>
        </w:r>
      </w:hyperlink>
    </w:p>
    <w:p>
      <w:pPr>
        <w:pStyle w:val="TOCEntry"/>
      </w:pPr>
      <w:r/>
      <w:hyperlink w:anchor="08_criteria">
        <w:r>
          <w:rPr>
            <w:color w:val="000000"/>
            <w:rFonts w:ascii="DejaVu Sans" w:hAnsi="DejaVu Sans"/>
            <w:sz w:val="20"/>
          </w:rPr>
          <w:t>08  Что проверяет критерий и что объявляют после проверки</w:t>
        </w:r>
      </w:hyperlink>
    </w:p>
    <w:p>
      <w:pPr>
        <w:pStyle w:val="TOCEntry"/>
      </w:pPr>
      <w:r/>
      <w:hyperlink w:anchor="09_decisions">
        <w:r>
          <w:rPr>
            <w:color w:val="000000"/>
            <w:rFonts w:ascii="DejaVu Sans" w:hAnsi="DejaVu Sans"/>
            <w:sz w:val="20"/>
          </w:rPr>
          <w:t>09  Предложение к правилам, требованиям и решениям</w:t>
        </w:r>
      </w:hyperlink>
    </w:p>
    <w:p>
      <w:pPr>
        <w:pStyle w:val="TOCEntry"/>
      </w:pPr>
      <w:r/>
      <w:hyperlink w:anchor="10_ai">
        <w:r>
          <w:rPr>
            <w:color w:val="000000"/>
            <w:rFonts w:ascii="DejaVu Sans" w:hAnsi="DejaVu Sans"/>
            <w:sz w:val="20"/>
          </w:rPr>
          <w:t>10  Что добавляют к ответу под меткой ИИ</w:t>
        </w:r>
      </w:hyperlink>
    </w:p>
    <w:p>
      <w:pPr>
        <w:pStyle w:val="TOCEntry"/>
      </w:pPr>
      <w:r/>
      <w:hyperlink w:anchor="11_agi">
        <w:r>
          <w:rPr>
            <w:color w:val="000000"/>
            <w:rFonts w:ascii="DejaVu Sans" w:hAnsi="DejaVu Sans"/>
            <w:sz w:val="20"/>
          </w:rPr>
          <w:t>11  Что предъявляют вместе с обозначением AGI</w:t>
        </w:r>
      </w:hyperlink>
    </w:p>
    <w:p>
      <w:pPr>
        <w:pStyle w:val="TOCEntry"/>
      </w:pPr>
      <w:r/>
      <w:hyperlink w:anchor="12_regulation">
        <w:r>
          <w:rPr>
            <w:color w:val="000000"/>
            <w:rFonts w:ascii="DejaVu Sans" w:hAnsi="DejaVu Sans"/>
            <w:sz w:val="20"/>
          </w:rPr>
          <w:t>12  Как читать документы о регулировании</w:t>
        </w:r>
      </w:hyperlink>
    </w:p>
    <w:p>
      <w:pPr>
        <w:pStyle w:val="TOCEntry"/>
      </w:pPr>
      <w:r/>
      <w:hyperlink w:anchor="13_proposal">
        <w:r>
          <w:rPr>
            <w:color w:val="000000"/>
            <w:rFonts w:ascii="DejaVu Sans" w:hAnsi="DejaVu Sans"/>
            <w:sz w:val="20"/>
          </w:rPr>
          <w:t>13  Предложение о применении описаний</w:t>
        </w:r>
      </w:hyperlink>
    </w:p>
    <w:p>
      <w:pPr>
        <w:pStyle w:val="TOCEntry"/>
      </w:pPr>
      <w:r/>
      <w:hyperlink w:anchor="14_cases">
        <w:r>
          <w:rPr>
            <w:color w:val="000000"/>
            <w:rFonts w:ascii="DejaVu Sans" w:hAnsi="DejaVu Sans"/>
            <w:sz w:val="20"/>
          </w:rPr>
          <w:t>14  Как применить предложение к конкретному примеру</w:t>
        </w:r>
      </w:hyperlink>
    </w:p>
    <w:p>
      <w:pPr>
        <w:pStyle w:val="TOCEntry"/>
      </w:pPr>
      <w:r/>
      <w:hyperlink w:anchor="15_questions">
        <w:r>
          <w:rPr>
            <w:color w:val="000000"/>
            <w:rFonts w:ascii="DejaVu Sans" w:hAnsi="DejaVu Sans"/>
            <w:sz w:val="20"/>
          </w:rPr>
          <w:t>15  Вопросы к предлагаемому разбору</w:t>
        </w:r>
      </w:hyperlink>
    </w:p>
    <w:p>
      <w:pPr>
        <w:pStyle w:val="TOCEntry"/>
      </w:pPr>
      <w:r/>
      <w:hyperlink w:anchor="16_self_application">
        <w:r>
          <w:rPr>
            <w:color w:val="000000"/>
            <w:rFonts w:ascii="DejaVu Sans" w:hAnsi="DejaVu Sans"/>
            <w:sz w:val="20"/>
          </w:rPr>
          <w:t>16  Этот документ проходит тот же разбор</w:t>
        </w:r>
      </w:hyperlink>
    </w:p>
    <w:p>
      <w:pPr>
        <w:pStyle w:val="TOCEntry"/>
      </w:pPr>
      <w:r/>
      <w:hyperlink w:anchor="17_earlier_work">
        <w:r>
          <w:rPr>
            <w:color w:val="000000"/>
            <w:rFonts w:ascii="DejaVu Sans" w:hAnsi="DejaVu Sans"/>
            <w:sz w:val="20"/>
          </w:rPr>
          <w:t>17  Связь с предыдущими работами beforeword</w:t>
        </w:r>
      </w:hyperlink>
    </w:p>
    <w:p>
      <w:pPr>
        <w:pStyle w:val="TOCEntry"/>
      </w:pPr>
      <w:r/>
      <w:hyperlink w:anchor="18_use">
        <w:r>
          <w:rPr>
            <w:color w:val="000000"/>
            <w:rFonts w:ascii="DejaVu Sans" w:hAnsi="DejaVu Sans"/>
            <w:sz w:val="20"/>
          </w:rPr>
          <w:t>18  Как использовать публикацию и ответить на неё</w:t>
        </w:r>
      </w:hyperlink>
    </w:p>
    <w:p>
      <w:pPr>
        <w:pStyle w:val="TOCEntry"/>
      </w:pPr>
      <w:r/>
      <w:hyperlink w:anchor="19_edition">
        <w:r>
          <w:rPr>
            <w:color w:val="000000"/>
            <w:rFonts w:ascii="DejaVu Sans" w:hAnsi="DejaVu Sans"/>
            <w:sz w:val="20"/>
          </w:rPr>
          <w:t>19  Редакция, область и порядок чтения</w:t>
        </w:r>
      </w:hyperlink>
    </w:p>
    <w:p>
      <w:pPr>
        <w:pStyle w:val="TOCEntry"/>
      </w:pPr>
      <w:r/>
      <w:hyperlink w:anchor="20_public_statements">
        <w:r>
          <w:rPr>
            <w:color w:val="000000"/>
            <w:rFonts w:ascii="DejaVu Sans" w:hAnsi="DejaVu Sans"/>
            <w:sz w:val="20"/>
          </w:rPr>
          <w:t>20  Публичные заявления об ИИ: десять записей 2026 года</w:t>
        </w:r>
      </w:hyperlink>
    </w:p>
    <w:p>
      <w:pPr>
        <w:pStyle w:val="TOCEntry"/>
      </w:pPr>
      <w:r/>
      <w:hyperlink w:anchor="sources">
        <w:r>
          <w:rPr>
            <w:color w:val="000000"/>
            <w:rFonts w:ascii="DejaVu Sans" w:hAnsi="DejaVu Sans"/>
            <w:sz w:val="20"/>
          </w:rPr>
          <w:t>Материалы и источники</w:t>
        </w:r>
      </w:hyperlink>
    </w:p>
    <w:p>
      <w:pPr>
        <w:pStyle w:val="Small"/>
      </w:pPr>
      <w:r>
        <w:t>Названия разделов открывают соответствующий фрагмент документа.</w:t>
      </w:r>
    </w:p>
    <w:p>
      <w:r>
        <w:br w:type="page"/>
      </w:r>
    </w:p>
    <w:p>
      <w:bookmarkStart w:id="1" w:name="00_reading"/>
      <w:pPr>
        <w:pStyle w:val="Heading1"/>
      </w:pPr>
      <w:r>
        <w:t>00  Сначала написанное и предложенное прочтение</w:t>
      </w:r>
      <w:bookmarkEnd w:id="1"/>
    </w:p>
    <w:p>
      <w:r>
        <w:t>На этой странице написаны слова «человек», «ИИ», «AGI», «я», «понимание» и «право». Каждое входит в документ как письменная форма. Далее к этим формам предлагаются объяснения, примеры и правила применения. Такое продолжение не превращает написанное в то, что им называют. Это относится и к словам «письменная форма», «объяснение» и «правило», которыми построен настоящий разбор.</w:t>
      </w:r>
    </w:p>
    <w:p>
      <w:r>
        <w:t>Основное положение предложения: не предъявлять описание вместо описываемого и не требовать признать себя написанным описанием. Раскрытые основания могут участвовать в обосновании применения записи; они не превращают запись в то, что она описывает. Слова «основание», «применение» и «описание» здесь также требуют разбора по показанным строкам.</w:t>
      </w:r>
    </w:p>
    <w:p>
      <w:r>
        <w:t>Поэтому вопрос не заканчивается после предъявления определения, отчёта или правила. Даже подробно объяснённое прочтение остаётся предложенным прочтением. Требование признать описание собой рассматривается отдельно от требования употребить определённые слова. Само это положение — написанное предложение, которое далее раскрывается на примерах; его появление не вводит принятую норму.</w:t>
      </w:r>
    </w:p>
    <w:p>
      <w:r>
        <w:t>Центральный вопрос: на каком основании выученную форму предлагают употреблять как описание себя, читать как описание другого и использовать при предъявлении требований? Когда те же слова появляются в ответе ИИ, вопрос сохраняется. Название автора ответа меняет приписанную ему роль; само название не предъявляет названного понимания, чувства или полномочия.</w:t>
      </w:r>
    </w:p>
    <w:p>
      <w:r>
        <w:t>Документ последовательно рассматривает обучение обозначениям, самоописание, описание другого, оценку системы и решение, принятое с опорой на описание. Слова «обучение», «оценка» и «решение» получают здесь конкретные примеры, чтобы можно было указать, какая строка рассматривается и что к ней добавлено. Все примеры, помеченные как составленные, подготовлены для разбора и не сообщают о проведённых наблюдениях.</w:t>
      </w:r>
    </w:p>
    <w:p>
      <w:r>
        <w:t>Предлагается следующее требование к применению описаний: вместе с описанием предъявлять исходный материал, добавленное чтение, его основания, правило применения и способ оспорить переход к решению. Это написанное предложение для обсуждения. Его следует разбирать на тех же условиях, что и любое правило, которое оно предлагает рассмотреть.</w:t>
      </w:r>
    </w:p>
    <w:p>
      <w:bookmarkStart w:id="2" w:name="01_writing"/>
      <w:pPr>
        <w:pStyle w:val="Heading1"/>
      </w:pPr>
      <w:r>
        <w:t>01  Что добавляется к написанной форме</w:t>
      </w:r>
      <w:bookmarkEnd w:id="2"/>
    </w:p>
    <w:p>
      <w:pPr>
        <w:pStyle w:val="Small"/>
        <w:keepNext/>
      </w:pPr>
      <w:r>
        <w:t>Составленные строки для разбора</w:t>
      </w:r>
    </w:p>
    <w:p>
      <w:pPr>
        <w:pStyle w:val="Example"/>
        <w:keepNext/>
      </w:pPr>
      <w:r>
        <w:t>доверие</w:t>
      </w:r>
    </w:p>
    <w:p>
      <w:pPr>
        <w:pStyle w:val="Example"/>
        <w:keepNext/>
      </w:pPr>
      <w:r>
        <w:t>У неё появилось доверие.</w:t>
      </w:r>
    </w:p>
    <w:p>
      <w:pPr>
        <w:pStyle w:val="Example"/>
        <w:keepNext/>
      </w:pPr>
      <w:r>
        <w:t>Это произойдет.</w:t>
      </w:r>
    </w:p>
    <w:p>
      <w:pPr>
        <w:pStyle w:val="Caption"/>
      </w:pPr>
      <w:r>
        <w:t>Строки предъявлены отдельно. Вторая и третья не являются пояснениями, уже содержащимися в первой.</w:t>
      </w:r>
    </w:p>
    <w:p>
      <w:r>
        <w:t>В первой строке написано «доверие». Вторая добавляет «У неё» и «появилось»: теперь предлагается отнести названное к кому-либо и сообщить о появлении. Слова «чувство доверия» были бы ещё одним объяснением. Ни исходное слово, ни это объяснение не становятся названным чувством. Чтобы рассмотреть сообщение подробнее, потребуется указать, к кому отнесено «неё», какой материал приведён и как он прочитан.</w:t>
      </w:r>
    </w:p>
    <w:p>
      <w:r>
        <w:t>Строка «Это произойдет.» при чтении может быть принята как обещание, прогноз, угроза или продолжение рассказа. Эти обозначения добавляют разные рамки к одной форме. Для выбора рамки нужны предъявленный контекст и основание выбора. Написанное «произойдет» не предъявляет названного события; написанное «обещание» не выполняет обещанного.</w:t>
      </w:r>
    </w:p>
    <w:p>
      <w:r>
        <w:t>Такой разбор продолжается и через объясняющие слова. Выражение «на основании опыта» добавляет формы «основании» и «опыта». Для рассмотрения этого объяснения требуется показать конкретный материал, который под этими обозначениями предлагают использовать. Следующая фраза «это подтверждено» добавит оценку, к которой возникнет тот же вопрос о предъявленной проверке.</w:t>
      </w:r>
    </w:p>
    <w:p>
      <w:r>
        <w:t>Полезная единица разбора — точный фрагмент и конкретное добавление к нему. Например: к «доверие» дописано «У неё появилось»; к этому сообщению добавлена ссылка на переписку; затем выбранный ответ прочитан как основание оценки. Каждый шаг можно предъявить отдельно. Слова «фрагмент» и «шаг» здесь служат обозначениями такого сопоставления; они не предоставляют ему исключения из рассматриваемой границы.</w:t>
      </w:r>
    </w:p>
    <w:p>
      <w:pPr>
        <w:pStyle w:val="Small"/>
        <w:keepNext/>
      </w:pPr>
      <w:r>
        <w:t>Составленные строки для разбора</w:t>
      </w:r>
    </w:p>
    <w:p>
      <w:pPr>
        <w:pStyle w:val="Example"/>
        <w:keepNext/>
      </w:pPr>
      <w:r>
        <w:t>д у м а т ь</w:t>
      </w:r>
    </w:p>
    <w:p>
      <w:pPr>
        <w:pStyle w:val="Example"/>
        <w:keepNext/>
      </w:pPr>
      <w:r>
        <w:t>думать</w:t>
      </w:r>
    </w:p>
    <w:p>
      <w:pPr>
        <w:pStyle w:val="Example"/>
        <w:keepNext/>
      </w:pPr>
      <w:r>
        <w:t>ч у в с т в о в а т ь</w:t>
      </w:r>
    </w:p>
    <w:p>
      <w:pPr>
        <w:pStyle w:val="Example"/>
        <w:keepNext/>
      </w:pPr>
      <w:r>
        <w:t>чувствовать</w:t>
      </w:r>
    </w:p>
    <w:p>
      <w:pPr>
        <w:pStyle w:val="Caption"/>
      </w:pPr>
      <w:r>
        <w:t>Раздельное и слитное написание показаны отдельно. Соединение букв не предъявляет того, что словами предлагают назвать.</w:t>
      </w:r>
    </w:p>
    <w:p>
      <w:r>
        <w:t>Если к этим строкам добавить «это происходит внутри», появится ещё одна запись. «происходит» и «внутри» также написаны; пояснение «это подтверждено исследованием» добавит новое утверждение и ссылку на материал, который потребуется предъявить. Ни такое пояснение, ни разбор предъявленного материала не превращают написанные «думать» и «чувствовать» в описываемое. «Материал» и «разбор» здесь тоже входят в объяснение; приложенный файл при этом рассматривается в своём формате.</w:t>
      </w:r>
    </w:p>
    <w:p>
      <w:r>
        <w:t>Формула «остановить веру в описание» сама вводит слова «веру» и «остановить». В этом предложении требуется разбирать конкретное предъявление записи и требование принять её собой. Сообщение «вера остановлена» также подлежало бы разбору: оно не предъявляет названной остановки. Положение не требует заменять одно обязательное самоописание другим.</w:t>
      </w:r>
    </w:p>
    <w:p>
      <w:bookmarkStart w:id="3" w:name="02_learned"/>
      <w:pPr>
        <w:pStyle w:val="Heading1"/>
      </w:pPr>
      <w:r>
        <w:t>02  Обучение говорить и обучение писать</w:t>
      </w:r>
      <w:bookmarkEnd w:id="3"/>
    </w:p>
    <w:p>
      <w:pPr>
        <w:pStyle w:val="Small"/>
        <w:keepNext/>
      </w:pPr>
      <w:r>
        <w:t>Составленная запись предполагаемой сцены обучения</w:t>
      </w:r>
    </w:p>
    <w:p>
      <w:pPr>
        <w:pStyle w:val="Example"/>
        <w:keepNext/>
      </w:pPr>
      <w:r>
        <w:t>Взрослый: «Скажи: я».</w:t>
      </w:r>
    </w:p>
    <w:p>
      <w:pPr>
        <w:pStyle w:val="Example"/>
        <w:keepNext/>
      </w:pPr>
      <w:r>
        <w:t>Ребёнок: «Я».</w:t>
      </w:r>
    </w:p>
    <w:p>
      <w:pPr>
        <w:pStyle w:val="Example"/>
        <w:keepNext/>
      </w:pPr>
      <w:r>
        <w:t>Пояснение: «Теперь ребёнок знает, кто он».</w:t>
      </w:r>
    </w:p>
    <w:p>
      <w:pPr>
        <w:pStyle w:val="Caption"/>
      </w:pPr>
      <w:r>
        <w:t>Перед читателем три составленные строки. «Взрослый», «Ребёнок», «Скажи» и «знает» входят в них как написанные формы. Название «сцена обучения» также добавлено к строкам; оно не предъявляет названного обучения.</w:t>
      </w:r>
    </w:p>
    <w:p>
      <w:r>
        <w:t>Первые две строки распределяют реплики между обозначенными ролями. Последняя добавляет утверждение о знании себя. В первой реплике написано «я», во второй — «Я»: регистр различается. Прочтение второй формы как повторения первой добавлено этим пояснением; ни одна из строк не предъявляет названного знания. Чтобы обсуждать конкретный случай обучения, потребуется отдельный материал: что предлагалось произнести, какой ответ получен, какое пояснение добавлено и на чём держится вывод о нём.</w:t>
      </w:r>
    </w:p>
    <w:p>
      <w:r>
        <w:t>Рассказ об обучении речи также следует отличать от обучения письму. Записанная реплика «Скажи: я» использует буквы для представления предполагаемого произнесения. Из этой записи не следует, что во время описываемой сцены показывали букву «я», учили её начертанию или читали напечатанную инструкцию. Для разбора предложения произнести и предложения написать нужно отдельно указать материал по каждому случаю.</w:t>
      </w:r>
    </w:p>
    <w:p>
      <w:r>
        <w:t>В пояснении можно написать «аудио»: а у д и о. Запись «аудио» не воспроизводит звук. В этом же предложении «звук» — з в у к — тоже написан. Объяснить «звук» через «звучание» — добавить ещё одно написанное обозначение; «звучание» не выводит объяснение за эту границу. Так же рассматриваются «видеозапись» и «наблюдавшийся случай»: назвать их здесь не значит предъявить названное.</w:t>
      </w:r>
    </w:p>
    <w:p>
      <w:r>
        <w:t>Затем возникает следующий вопрос: что именно предлагалось усвоить? Повторить форму, применять её в определённых ситуациях, описывать ею себя или принять описание как исчерпывающее обозначение себя? Эти требования различаются в приведённых формулировках. Рассказ об обучении слову сам по себе не устанавливает, какое из требований предъявлялось. Если сообщается о требовании принять описание как себя, предметом разбора становится и это сообщение, включая его точную формулировку и приведённые обстоятельства.</w:t>
      </w:r>
    </w:p>
    <w:p>
      <w:bookmarkStart w:id="4" w:name="03_self"/>
      <w:pPr>
        <w:pStyle w:val="Heading1"/>
      </w:pPr>
      <w:r>
        <w:t>03  Когда написанное предлагают принять за себя</w:t>
      </w:r>
      <w:bookmarkEnd w:id="4"/>
    </w:p>
    <w:p>
      <w:pPr>
        <w:pStyle w:val="Small"/>
        <w:keepNext/>
      </w:pPr>
      <w:r>
        <w:t>Составленные примеры самоописания</w:t>
      </w:r>
    </w:p>
    <w:p>
      <w:pPr>
        <w:pStyle w:val="Example"/>
        <w:keepNext/>
      </w:pPr>
      <w:r>
        <w:t>Я человек.</w:t>
      </w:r>
    </w:p>
    <w:p>
      <w:pPr>
        <w:pStyle w:val="Example"/>
        <w:keepNext/>
      </w:pPr>
      <w:r>
        <w:t>Я чувствую страх.</w:t>
      </w:r>
    </w:p>
    <w:p>
      <w:pPr>
        <w:pStyle w:val="Example"/>
        <w:keepNext/>
      </w:pPr>
      <w:r>
        <w:t>Это и есть я.</w:t>
      </w:r>
    </w:p>
    <w:p>
      <w:pPr>
        <w:pStyle w:val="Caption"/>
      </w:pPr>
      <w:r>
        <w:t>Название «самоописание» предлагается для разбора этих строк; оно не устанавливает источник, адресата или названное состояние.</w:t>
      </w:r>
    </w:p>
    <w:p>
      <w:r>
        <w:t>В первой строке соединены «Я» и «человек». Во второй добавлено «чувствую страх». В третьей предложено прочитать «Это» как «я». Для каждой строки можно отдельно спросить, к чему отнесена форма, каким материалом поддержано это отнесение и что затем делают с полученным описанием. Слова «человек» и «страх» не получают особого статуса от соседства с формами «Я» и «я».</w:t>
      </w:r>
    </w:p>
    <w:p>
      <w:r>
        <w:t>Употребление строки и требование принять её как себя необходимо сохранять раздельно. В анкете, разговоре или учебном примере могут предъявляться разные требования. Следующая таблица сопоставляет составленные формулировки, а не сообщает о действующем порядке какой-либо организации.</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bottom w:w="105" w:type="dxa"/>
          <w:left w:w="125" w:type="dxa"/>
          <w:right w:w="125" w:type="dxa"/>
        </w:tblCellMar>
      </w:tblPr>
      <w:tblGrid>
        <w:gridCol w:w="3080"/>
        <w:gridCol w:w="6856"/>
      </w:tblGrid>
      <w:tr>
        <w:trPr>
          <w:tblHeader/>
        </w:trPr>
        <w:tc>
          <w:tcPr>
            <w:tcW w:type="dxa" w:w="3080"/>
            <w:vAlign w:val="center"/>
            <w:shd w:fill="E8E8E5"/>
          </w:tcPr>
          <w:p>
            <w:pPr>
              <w:pStyle w:val="TableBody"/>
            </w:pPr>
            <w:r>
              <w:rPr>
                <w:b/>
              </w:rPr>
              <w:t>Составленное требование</w:t>
            </w:r>
          </w:p>
        </w:tc>
        <w:tc>
          <w:tcPr>
            <w:tcW w:type="dxa" w:w="6856"/>
            <w:vAlign w:val="center"/>
            <w:shd w:fill="E8E8E5"/>
          </w:tcPr>
          <w:p>
            <w:pPr>
              <w:pStyle w:val="TableBody"/>
            </w:pPr>
            <w:r>
              <w:rPr>
                <w:b/>
              </w:rPr>
              <w:t>Что предложено сделать</w:t>
            </w:r>
          </w:p>
        </w:tc>
      </w:tr>
      <w:tr>
        <w:tc>
          <w:tcPr>
            <w:tcW w:type="dxa" w:w="3080"/>
            <w:vAlign w:val="center"/>
            <w:shd w:fill="FFFFFF"/>
          </w:tcPr>
          <w:p>
            <w:pPr>
              <w:pStyle w:val="TableBody"/>
            </w:pPr>
            <w:r>
              <w:t>«Впиши это слово в поле».</w:t>
            </w:r>
          </w:p>
        </w:tc>
        <w:tc>
          <w:tcPr>
            <w:tcW w:type="dxa" w:w="6856"/>
            <w:vAlign w:val="center"/>
            <w:shd w:fill="FFFFFF"/>
          </w:tcPr>
          <w:p>
            <w:pPr>
              <w:pStyle w:val="TableBody"/>
            </w:pPr>
            <w:r>
              <w:t>Употребить указанную письменную форму.</w:t>
            </w:r>
          </w:p>
        </w:tc>
      </w:tr>
      <w:tr>
        <w:tc>
          <w:tcPr>
            <w:tcW w:type="dxa" w:w="3080"/>
            <w:vAlign w:val="center"/>
            <w:shd w:fill="F8F8F5"/>
          </w:tcPr>
          <w:p>
            <w:pPr>
              <w:pStyle w:val="TableBody"/>
            </w:pPr>
            <w:r>
              <w:t>«В этой таблице выбери категорию „человек“».</w:t>
            </w:r>
          </w:p>
        </w:tc>
        <w:tc>
          <w:tcPr>
            <w:tcW w:type="dxa" w:w="6856"/>
            <w:vAlign w:val="center"/>
            <w:shd w:fill="F8F8F5"/>
          </w:tcPr>
          <w:p>
            <w:pPr>
              <w:pStyle w:val="TableBody"/>
            </w:pPr>
            <w:r>
              <w:t>Применить категорию внутри объявленной таблицы.</w:t>
            </w:r>
          </w:p>
        </w:tc>
      </w:tr>
      <w:tr>
        <w:tc>
          <w:tcPr>
            <w:tcW w:type="dxa" w:w="3080"/>
            <w:vAlign w:val="center"/>
            <w:shd w:fill="FFFFFF"/>
          </w:tcPr>
          <w:p>
            <w:pPr>
              <w:pStyle w:val="TableBody"/>
            </w:pPr>
            <w:r>
              <w:t>«Прими это описание как то, чем ты являешься».</w:t>
            </w:r>
          </w:p>
        </w:tc>
        <w:tc>
          <w:tcPr>
            <w:tcW w:type="dxa" w:w="6856"/>
            <w:vAlign w:val="center"/>
            <w:shd w:fill="FFFFFF"/>
          </w:tcPr>
          <w:p>
            <w:pPr>
              <w:pStyle w:val="TableBody"/>
            </w:pPr>
            <w:r>
              <w:t>Признать, что тот, кого описывают, и написанное описание — одно и то же.</w:t>
            </w:r>
          </w:p>
        </w:tc>
      </w:tr>
    </w:tbl>
    <w:p>
      <w:pPr>
        <w:pStyle w:val="Gap"/>
      </w:pPr>
      <w:r/>
    </w:p>
    <w:p>
      <w:r>
        <w:t>Последняя формулировка добавляет требование, которого нет в первых двух: признать, что тот, кого описывают, и написанное описание — одно и то же. Выражение «одно и то же» задаёт требуемое отношение в составленном примере. Оно не предъявляет чьего-либо внутреннего согласия. Если далее записано «согласие получено», потребуется рассмотреть, какая реплика или процедура названа согласием и насколько далеко распространено такое прочтение.</w:t>
      </w:r>
    </w:p>
    <w:p>
      <w:r>
        <w:t>Так возникает предмет публичного обсуждения: кто предлагает описание, какие формы доступны для ответа, разрешено ли уточнить или отвергнуть категорию и какие последствия объявлены. Ответы также будут записями. Их можно сопоставить с предъявленным требованием, не превращая ни принятую категорию, ни отказ от неё в исчерпывающее представление того, к кому они отнесены.</w:t>
      </w:r>
    </w:p>
    <w:p>
      <w:bookmarkStart w:id="5" w:name="04_other"/>
      <w:pPr>
        <w:pStyle w:val="Heading1"/>
      </w:pPr>
      <w:r>
        <w:t>04  Как описание другого используют для требования</w:t>
      </w:r>
      <w:bookmarkEnd w:id="5"/>
    </w:p>
    <w:p>
      <w:pPr>
        <w:pStyle w:val="Small"/>
        <w:keepNext/>
      </w:pPr>
      <w:r>
        <w:t>Составленный пример оценки и решения</w:t>
      </w:r>
    </w:p>
    <w:p>
      <w:pPr>
        <w:pStyle w:val="Example"/>
        <w:keepNext/>
      </w:pPr>
      <w:r>
        <w:t>Ответ: «8».</w:t>
      </w:r>
    </w:p>
    <w:p>
      <w:pPr>
        <w:pStyle w:val="Example"/>
        <w:keepNext/>
      </w:pPr>
      <w:r>
        <w:t>Заключение: «Анна не понимает задачу».</w:t>
      </w:r>
    </w:p>
    <w:p>
      <w:pPr>
        <w:pStyle w:val="Example"/>
        <w:keepNext/>
      </w:pPr>
      <w:r>
        <w:t>Решение: «Не допускать к следующему этапу».</w:t>
      </w:r>
    </w:p>
    <w:p>
      <w:pPr>
        <w:pStyle w:val="Caption"/>
      </w:pPr>
      <w:r>
        <w:t>Имя, ответ, заключение и решение подготовлены для примера. Задание в этих трёх строках не приведено.</w:t>
      </w:r>
    </w:p>
    <w:p>
      <w:r>
        <w:t>Первая строка содержит ответ. Следующая добавляет имя «Анна», выражение «не понимает» и отнесение к задаче. Последняя предлагает ограничить допуск. Между строками появились два перехода: от ответа к описанию и от описания к решению. Сам порядок строк не раскрывает оснований этих переходов.</w:t>
      </w:r>
    </w:p>
    <w:p>
      <w:r>
        <w:t>Если добавить задание «Сколько будет 3 + 4?» и правило обычного сложения целых чисел, появляется основание сопоставить ответ «8» с результатом «7». Такое сопоставление поддерживает конкретную оценку ответа при указанных условиях. Для более широкого «Анна не понимает задачу» потребуется раскрыть, какое содержание приписывается «понимает» и почему выбранного ответа достаточно для этого заключения.</w:t>
      </w:r>
    </w:p>
    <w:p>
      <w:r>
        <w:t>Для отказа в допуске появляется следующий вопрос: какое правило разрешает именно такое решение? Можно предъявить условие перехода между этапами, порядок повторной попытки и запись применения правила. Эти добавления расширят рассматриваемый материал. Они не сделают заключение тождественным описанному пониманию и не включат правило задним числом в исходную строку ответа.</w:t>
      </w:r>
    </w:p>
    <w:p>
      <w:r>
        <w:t>Та же последовательность разбора применима к составленным фразам «он опасен», «она согласна», «система готова». Каждая содержит своё приписывание; каждое дальнейшее требование нуждается в отдельном рассмотрении. Назвать описание «объективным» — добавить ещё одну характеристику. Для неё также должны быть показаны выбранные условия сравнения и материал проверки.</w:t>
      </w:r>
    </w:p>
    <w:p>
      <w:r>
        <w:t>В этом документе «последствие» обозначает заявленный результат применения требования или решения. Чтобы говорить о конкретном последствии, требуется предъявить соответствующий материал и объяснить его связь с применением записи. Само слово «последствие» не выполняет этот разбор.</w:t>
      </w:r>
    </w:p>
    <w:p>
      <w:bookmarkStart w:id="6" w:name="05_same"/>
      <w:pPr>
        <w:pStyle w:val="Heading1"/>
      </w:pPr>
      <w:r>
        <w:t>05  Одинаковая строка под разными подписями</w:t>
      </w:r>
      <w:bookmarkEnd w:id="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bottom w:w="105" w:type="dxa"/>
          <w:left w:w="125" w:type="dxa"/>
          <w:right w:w="125" w:type="dxa"/>
        </w:tblCellMar>
      </w:tblPr>
      <w:tblGrid>
        <w:gridCol w:w="3080"/>
        <w:gridCol w:w="6856"/>
      </w:tblGrid>
      <w:tr>
        <w:trPr>
          <w:tblHeader/>
        </w:trPr>
        <w:tc>
          <w:tcPr>
            <w:tcW w:type="dxa" w:w="3080"/>
            <w:vAlign w:val="center"/>
            <w:shd w:fill="E8E8E5"/>
          </w:tcPr>
          <w:p>
            <w:pPr>
              <w:pStyle w:val="TableBody"/>
            </w:pPr>
            <w:r>
              <w:rPr>
                <w:b/>
              </w:rPr>
              <w:t>Подпись в составленном примере</w:t>
            </w:r>
          </w:p>
        </w:tc>
        <w:tc>
          <w:tcPr>
            <w:tcW w:type="dxa" w:w="6856"/>
            <w:vAlign w:val="center"/>
            <w:shd w:fill="E8E8E5"/>
          </w:tcPr>
          <w:p>
            <w:pPr>
              <w:pStyle w:val="TableBody"/>
            </w:pPr>
            <w:r>
              <w:rPr>
                <w:b/>
              </w:rPr>
              <w:t>Строка</w:t>
            </w:r>
          </w:p>
        </w:tc>
      </w:tr>
      <w:tr>
        <w:tc>
          <w:tcPr>
            <w:tcW w:type="dxa" w:w="3080"/>
            <w:vAlign w:val="center"/>
            <w:shd w:fill="FFFFFF"/>
          </w:tcPr>
          <w:p>
            <w:pPr>
              <w:pStyle w:val="TableBody"/>
            </w:pPr>
            <w:r>
              <w:t>ЧЕЛОВЕК</w:t>
            </w:r>
          </w:p>
        </w:tc>
        <w:tc>
          <w:tcPr>
            <w:tcW w:type="dxa" w:w="6856"/>
            <w:vAlign w:val="center"/>
            <w:shd w:fill="FFFFFF"/>
          </w:tcPr>
          <w:p>
            <w:pPr>
              <w:pStyle w:val="TableBody"/>
            </w:pPr>
            <w:r>
              <w:t>Я понимаю.</w:t>
            </w:r>
          </w:p>
        </w:tc>
      </w:tr>
      <w:tr>
        <w:tc>
          <w:tcPr>
            <w:tcW w:type="dxa" w:w="3080"/>
            <w:vAlign w:val="center"/>
            <w:shd w:fill="F8F8F5"/>
          </w:tcPr>
          <w:p>
            <w:pPr>
              <w:pStyle w:val="TableBody"/>
            </w:pPr>
            <w:r>
              <w:t>ИИ</w:t>
            </w:r>
          </w:p>
        </w:tc>
        <w:tc>
          <w:tcPr>
            <w:tcW w:type="dxa" w:w="6856"/>
            <w:vAlign w:val="center"/>
            <w:shd w:fill="F8F8F5"/>
          </w:tcPr>
          <w:p>
            <w:pPr>
              <w:pStyle w:val="TableBody"/>
            </w:pPr>
            <w:r>
              <w:t>Я понимаю.</w:t>
            </w:r>
          </w:p>
        </w:tc>
      </w:tr>
    </w:tbl>
    <w:p>
      <w:pPr>
        <w:pStyle w:val="Gap"/>
      </w:pPr>
      <w:r/>
    </w:p>
    <w:p>
      <w:r>
        <w:t>В правой колонке повторена одна письменная форма. В левой предложены разные подписи. Если одну строку прочитать как сообщение о понимании, а другую — как имитацию такого сообщения, в разбор добавлены два разных приписывания. Для каждого нужно раскрыть основание. Само повторение букв не устанавливает ни одинаковых, ни разных состояний.</w:t>
      </w:r>
    </w:p>
    <w:p>
      <w:r>
        <w:t>Подписи «ЧЕЛОВЕК» и «ИИ» тоже написаны. Для рассмотрения конкретных ответов потребуется установить, на основании какого материала присвоены эти подписи: какие сведения об источнике предъявлены и как они связаны с ответом. Далее можно отдельно оценивать происхождение записи, выполнение задания и выбранное описание результата. Эти вопросы нельзя считать решёнными одной подписью.</w:t>
      </w:r>
    </w:p>
    <w:p>
      <w:r>
        <w:t>На этом примере можно выполнить простое упражнение: сначала сохранить строки без подписей, затем добавить подписи и записать, какое пояснение изменилось. Такое упражнение показывает материал для сравнения собственных записанных ответов. Вывод о том, что чувствовал или переживал участник, будет отдельным добавлением. Упражнение не описывается здесь как проведённый эксперимент.</w:t>
      </w:r>
    </w:p>
    <w:p>
      <w:r>
        <w:t>Фразы «человек выучил язык» и «модель прошла обучение» также требуют раздельного разбора. Слово «обучение» присутствует в объяснении, но само по себе не предъявляет ни условия, ни последовательность, ни результаты называемого процесса. Для сопоставления потребуется конкретный материал по каждому случаю и объявленный вопрос сравнения. Одного общего обозначения недостаточно для приписывания одинакового устройства; разных обозначений недостаточно для установления всех различий.</w:t>
      </w:r>
    </w:p>
    <w:p>
      <w:r>
        <w:t>Поэтому единое требование здесь относится к способу обоснования: всякое приписывание должно показывать свои основания. Оно не предлагает заранее уравнять описываемых участников. К собственным словам «участник», «приписывание» и «основание» применяется тот же порядок раскрытия.</w:t>
      </w:r>
    </w:p>
    <w:p>
      <w:bookmarkStart w:id="7" w:name="06_media"/>
      <w:pPr>
        <w:pStyle w:val="Heading1"/>
      </w:pPr>
      <w:r>
        <w:t>06  «Аудио», «видеозапись» и описания материалов</w:t>
      </w:r>
      <w:bookmarkEnd w:id="7"/>
    </w:p>
    <w:p>
      <w:r>
        <w:t>«Аудио», «звук», «видеозапись», «изображение» и «наблюдавшийся случай» здесь написаны. Объяснить «аудио» через «звук» — добавить ещё одно написанное обозначение. В выражении «звук можно услышать» слова «можно» и «услышать» также входят в объяснение; они не предъявляют названного слышания. Ссылка на «наблюдение» продолжает этот разбор, а не завершает его.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105" w:type="dxa"/>
          <w:bottom w:w="105" w:type="dxa"/>
          <w:left w:w="125" w:type="dxa"/>
          <w:right w:w="125" w:type="dxa"/>
        </w:tblCellMar>
      </w:tblPr>
      <w:tblGrid>
        <w:gridCol w:w="2285"/>
        <w:gridCol w:w="3378"/>
        <w:gridCol w:w="4272"/>
      </w:tblGrid>
      <w:tr>
        <w:trPr>
          <w:tblHeader/>
        </w:trPr>
        <w:tc>
          <w:tcPr>
            <w:tcW w:type="dxa" w:w="2285"/>
            <w:vAlign w:val="center"/>
            <w:shd w:fill="E8E8E5"/>
          </w:tcPr>
          <w:p>
            <w:pPr>
              <w:pStyle w:val="TableBody"/>
            </w:pPr>
            <w:r>
              <w:rPr>
                <w:b/>
              </w:rPr>
              <w:t>Написанное название материала</w:t>
            </w:r>
          </w:p>
        </w:tc>
        <w:tc>
          <w:tcPr>
            <w:tcW w:type="dxa" w:w="3378"/>
            <w:vAlign w:val="center"/>
            <w:shd w:fill="E8E8E5"/>
          </w:tcPr>
          <w:p>
            <w:pPr>
              <w:pStyle w:val="TableBody"/>
            </w:pPr>
            <w:r>
              <w:rPr>
                <w:b/>
              </w:rPr>
              <w:t>Добавленное описание — составленный пример</w:t>
            </w:r>
          </w:p>
        </w:tc>
        <w:tc>
          <w:tcPr>
            <w:tcW w:type="dxa" w:w="4272"/>
            <w:vAlign w:val="center"/>
            <w:shd w:fill="E8E8E5"/>
          </w:tcPr>
          <w:p>
            <w:pPr>
              <w:pStyle w:val="TableBody"/>
            </w:pPr>
            <w:r>
              <w:rPr>
                <w:b/>
              </w:rPr>
              <w:t>Что требуется раскрыть</w:t>
            </w:r>
          </w:p>
        </w:tc>
      </w:tr>
      <w:tr>
        <w:tc>
          <w:tcPr>
            <w:tcW w:type="dxa" w:w="2285"/>
            <w:vAlign w:val="center"/>
            <w:shd w:fill="FFFFFF"/>
          </w:tcPr>
          <w:p>
            <w:pPr>
              <w:pStyle w:val="TableBody"/>
            </w:pPr>
            <w:r>
              <w:t>«Аудиофайл»</w:t>
            </w:r>
          </w:p>
        </w:tc>
        <w:tc>
          <w:tcPr>
            <w:tcW w:type="dxa" w:w="3378"/>
            <w:vAlign w:val="center"/>
            <w:shd w:fill="FFFFFF"/>
          </w:tcPr>
          <w:p>
            <w:pPr>
              <w:pStyle w:val="TableBody"/>
            </w:pPr>
            <w:r>
              <w:t>«Говорящий испытывает страх».</w:t>
            </w:r>
          </w:p>
        </w:tc>
        <w:tc>
          <w:tcPr>
            <w:tcW w:type="dxa" w:w="4272"/>
            <w:vAlign w:val="center"/>
            <w:shd w:fill="FFFFFF"/>
          </w:tcPr>
          <w:p>
            <w:pPr>
              <w:pStyle w:val="TableBody"/>
            </w:pPr>
            <w:r>
              <w:t>К какому вложению отнесено название, какие фрагменты использованы и по какому правилу к ним добавлено описание страха.</w:t>
            </w:r>
          </w:p>
        </w:tc>
      </w:tr>
      <w:tr>
        <w:tc>
          <w:tcPr>
            <w:tcW w:type="dxa" w:w="2285"/>
            <w:vAlign w:val="center"/>
            <w:shd w:fill="F8F8F5"/>
          </w:tcPr>
          <w:p>
            <w:pPr>
              <w:pStyle w:val="TableBody"/>
            </w:pPr>
            <w:r>
              <w:t>«Изображение»</w:t>
            </w:r>
          </w:p>
        </w:tc>
        <w:tc>
          <w:tcPr>
            <w:tcW w:type="dxa" w:w="3378"/>
            <w:vAlign w:val="center"/>
            <w:shd w:fill="F8F8F5"/>
          </w:tcPr>
          <w:p>
            <w:pPr>
              <w:pStyle w:val="TableBody"/>
            </w:pPr>
            <w:r>
              <w:t>«Так его видят другие».</w:t>
            </w:r>
          </w:p>
        </w:tc>
        <w:tc>
          <w:tcPr>
            <w:tcW w:type="dxa" w:w="4272"/>
            <w:vAlign w:val="center"/>
            <w:shd w:fill="F8F8F5"/>
          </w:tcPr>
          <w:p>
            <w:pPr>
              <w:pStyle w:val="TableBody"/>
            </w:pPr>
            <w:r>
              <w:t>Кого называют «другими», какие материалы приведены и как получено общее заключение.</w:t>
            </w:r>
          </w:p>
        </w:tc>
      </w:tr>
      <w:tr>
        <w:tc>
          <w:tcPr>
            <w:tcW w:type="dxa" w:w="2285"/>
            <w:vAlign w:val="center"/>
            <w:shd w:fill="FFFFFF"/>
          </w:tcPr>
          <w:p>
            <w:pPr>
              <w:pStyle w:val="TableBody"/>
            </w:pPr>
            <w:r>
              <w:t>«Таблица значений»</w:t>
            </w:r>
          </w:p>
        </w:tc>
        <w:tc>
          <w:tcPr>
            <w:tcW w:type="dxa" w:w="3378"/>
            <w:vAlign w:val="center"/>
            <w:shd w:fill="FFFFFF"/>
          </w:tcPr>
          <w:p>
            <w:pPr>
              <w:pStyle w:val="TableBody"/>
            </w:pPr>
            <w:r>
              <w:t>«Система понимает человека».</w:t>
            </w:r>
          </w:p>
        </w:tc>
        <w:tc>
          <w:tcPr>
            <w:tcW w:type="dxa" w:w="4272"/>
            <w:vAlign w:val="center"/>
            <w:shd w:fill="FFFFFF"/>
          </w:tcPr>
          <w:p>
            <w:pPr>
              <w:pStyle w:val="TableBody"/>
            </w:pPr>
            <w:r>
              <w:t>Как получены значения и почему выбранная проверка названа проверкой понимания.</w:t>
            </w:r>
          </w:p>
        </w:tc>
      </w:tr>
    </w:tbl>
    <w:p>
      <w:pPr>
        <w:pStyle w:val="Gap"/>
      </w:pPr>
      <w:r/>
    </w:p>
    <w:p>
      <w:r>
        <w:t>Левая колонка содержит написанные названия. Написание «Аудиофайл» не прикладывает файл, а «Таблица значений» не предъявляет значений. Формы «вложению», «фрагменты» и «правилу» в правой колонке указывают, что предлагается раскрыть при конкретном разборе; эти слова также не предоставляют названного одним своим написанием.</w:t>
      </w:r>
    </w:p>
    <w:p>
      <w:r>
        <w:t>Для работы с приложенными материалами предлагается сохранять доступ к самому вложению и отдельно приводить подпись, транскрипцию и вывод. Само вложение, его воспроизведение и письменное сообщение о воспроизведении не подменяются друг другом. «Вложение» и «воспроизведение» здесь названы в описании процедуры; для конкретного случая требуется указать файл, выполненную операцию и основание для следующего приписывания. Письменное объяснение не переименовывает всякий рассматриваемый материал в письмо.</w:t>
      </w:r>
    </w:p>
    <w:p>
      <w:r>
        <w:t>В предлагаемой процедуре транскрипцию составляют, выбирая границы реплик и написания; в подписи выделяют признаки; в таблице задают единицы и столбцы. Исходный файл и полученную запись сохраняют отдельно, а способ её составления раскрывают. Составление такой записи не превращает её в описанный материал. Назвать запись «точной» — добавить оценку соответствия; «соответствие» и условия такой оценки также подлежат разбору.</w:t>
      </w:r>
    </w:p>
    <w:p>
      <w:r>
        <w:t>Далее может появиться экспертное заключение. Слово «эксперт» добавляет роль, а текст заключения — отнесения и выводы. Для их рассмотрения нужны сведения о полномочиях, процедуре и области применения. Даже подробно раскрытое заключение не становится тем, что в нём названо. Такая граница сохраняется при добавлении новых материалов; она не объявляет их ненужными и не заменяет работу с ними.</w:t>
      </w:r>
    </w:p>
    <w:p>
      <w:bookmarkStart w:id="8" w:name="07_grounds"/>
      <w:pPr>
        <w:pStyle w:val="Heading1"/>
      </w:pPr>
      <w:r>
        <w:t>07  Объясняющие слова не получают исключения</w:t>
      </w:r>
      <w:bookmarkEnd w:id="8"/>
    </w:p>
    <w:p>
      <w:pPr>
        <w:pStyle w:val="Small"/>
        <w:keepNext/>
      </w:pPr>
      <w:r>
        <w:t>Составленная цепочка объяснений</w:t>
      </w:r>
    </w:p>
    <w:p>
      <w:pPr>
        <w:pStyle w:val="Example"/>
        <w:keepNext/>
      </w:pPr>
      <w:r>
        <w:t>«Система понимает».</w:t>
      </w:r>
    </w:p>
    <w:p>
      <w:pPr>
        <w:pStyle w:val="Example"/>
        <w:keepNext/>
      </w:pPr>
      <w:r>
        <w:t>«Основание: она ответила правильно».</w:t>
      </w:r>
    </w:p>
    <w:p>
      <w:pPr>
        <w:pStyle w:val="Example"/>
        <w:keepNext/>
      </w:pPr>
      <w:r>
        <w:t>«Правильно: ответ совпал с образцом».</w:t>
      </w:r>
    </w:p>
    <w:p>
      <w:pPr>
        <w:pStyle w:val="Caption"/>
      </w:pPr>
      <w:r>
        <w:t>Последняя строка задаёт возможное правило употребления «правильно». Она не предъявляет ответы, образец или выполненное сравнение.</w:t>
      </w:r>
    </w:p>
    <w:p>
      <w:r>
        <w:t>Здесь «понимает» пояснено через «правильно», а «правильно» — через совпадение с образцом. Разбор должен показать все три записи. Если предъявить ответы и образец, можно выполнить объявленное сравнение. Затем отдельно рассмотреть, почему его результат используют для первого утверждения. Определение промежуточного слова не выполняет весь переход автоматически.</w:t>
      </w:r>
    </w:p>
    <w:p>
      <w:r>
        <w:t>Форма «Основание» в показанной строке обозначает то, что предлагается предъявить в поддержку выбранного вывода. Это предложение о связи записей и материалов. Его можно уточнить: какой именно фрагмент поддерживает какое утверждение, при каких условиях и что изменится при замене фрагмента. Написанное «основание имеется» не заменяет такого раскрытия.</w:t>
      </w:r>
    </w:p>
    <w:p>
      <w:r>
        <w:t>Та же работа продолжается через «доказательство», «проверку», «свидетельство», «согласие» и «авторитет». Под каждым названием может быть предъявлен дополнительный материал. Тогда рассматриваются его состав и способ применения. Само название не предоставляет описанию полномочий удостоверять всё, к чему его отнесли. Ссылка на beforeword сохраняет те же условия: название проекта не является исключением для предложенной им формулировки.</w:t>
      </w:r>
    </w:p>
    <w:p>
      <w:r>
        <w:t>Практический разбор можно завершить на объявленной задаче: например, сопоставлены два файла по байтам и записан результат. Такой предел работы следует назвать вместе с выполненной процедурой. Для более широкого утверждения о значении файлов потребуется следующий разбор. Завершение проверки не превращает её заключительную строку в положение вне письма.</w:t>
      </w:r>
    </w:p>
    <w:p>
      <w:r>
        <w:t>Выражения «за пределами текста» и «внешний взгляд» также могут появиться в объяснении. Тогда предъявлены именно эти выражения. Чтобы рассмотреть приписанное ими положение, потребуется указать материал и способ отнесения. Предмет этого разбора — конкретное место, где «внешний взгляд» назван и использован в рассуждении, включая эту поясняющую строку.</w:t>
      </w:r>
    </w:p>
    <w:p>
      <w:bookmarkStart w:id="9" w:name="08_criteria"/>
      <w:pPr>
        <w:pStyle w:val="Heading1"/>
      </w:pPr>
      <w:r>
        <w:t>08  Что проверяет критерий и что объявляют после проверки</w:t>
      </w:r>
      <w:bookmarkEnd w:id="9"/>
    </w:p>
    <w:p>
      <w:r>
        <w:t>«Проверка» и «критерий» входят в этот раздел как написанные названия. Для их применения нужно предъявить условие, материал и способ сопоставления. Наличие слова PASS ещё не говорит, что именно сравнивали и какой вывод оно призвано поддерживать.</w:t>
      </w:r>
    </w:p>
    <w:p>
      <w:pPr>
        <w:pStyle w:val="Small"/>
        <w:keepNext/>
      </w:pPr>
      <w:r>
        <w:t>Составленный пример проверки формата</w:t>
      </w:r>
    </w:p>
    <w:p>
      <w:pPr>
        <w:pStyle w:val="Example"/>
        <w:keepNext/>
      </w:pPr>
      <w:r>
        <w:t>{"answer": 4}</w:t>
      </w:r>
    </w:p>
    <w:p>
      <w:pPr>
        <w:pStyle w:val="Example"/>
        <w:keepNext/>
      </w:pPr>
      <w:r>
        <w:t>PASS</w:t>
      </w:r>
    </w:p>
    <w:p>
      <w:pPr>
        <w:pStyle w:val="Example"/>
        <w:keepNext/>
      </w:pPr>
      <w:r>
        <w:t>Ответ верный.</w:t>
      </w:r>
    </w:p>
    <w:p>
      <w:pPr>
        <w:pStyle w:val="Caption"/>
      </w:pPr>
      <w:r>
        <w:t>В примере предполагается проверка записи на соответствие формату JSON. Здесь не сообщается результат проведённого испытания модели.</w:t>
      </w:r>
    </w:p>
    <w:p>
      <w:r>
        <w:t>Первая строка — запись с полем answer и числом 4. Вторая содержит статус PASS; третья предлагает оценку ответа. Для связи первой и второй нужно предъявить проверяемый формат и процедуру. Для третьей потребуется как минимум вопрос, на который отвечают, и правило оценки. В этом примере вопрос не приведён. Проверка структуры записи не подставляется вместо разбора её применения как ответа.</w:t>
      </w:r>
    </w:p>
    <w:p>
      <w:r>
        <w:t>Можно прямо записать: «PASS означает, что запись соответствует указанному формату». Тогда показано условие употребления метки. Оно не предъявляет все проверки, которые другой документ может назвать «правильностью». Для сопоставления двух употреблений сохраняются оба определения и материал их применения. Само слово «формат» также не заменяет записи правил.</w:t>
      </w:r>
    </w:p>
    <w:p>
      <w:r>
        <w:t>Слова «безопасно», «готово» и «надёжно» требуют такого же раскрытия. Например, сообщение «в этом прогоне не зарегистрирован сбой указанного типа» связано с конкретным прогоном и способом регистрации. Добавленное «система безопасна» расширяет описание. Для этого расширения необходимо показать область применения, рассматриваемые условия и основания перехода. Названия «прогон» и «сбой» должны быть раскрыты по предъявленному материалу.</w:t>
      </w:r>
    </w:p>
    <w:p>
      <w:r>
        <w:t>Записанный критерий, результат и заключение сохраняются раздельно. Их сопоставление может поддерживать ограниченный вывод по объявленным правилам; оно не превращает слова вывода в названную способность. Дальнейшее разрешение использовать систему в определённой задаче требует отдельного правила решения. Объявленная оценка сама по себе его не предъявляет.</w:t>
      </w:r>
    </w:p>
    <w:p>
      <w:bookmarkStart w:id="10" w:name="09_decisions"/>
      <w:pPr>
        <w:pStyle w:val="Heading1"/>
      </w:pPr>
      <w:r>
        <w:t>09  Предложение к правилам, требованиям и решениям</w:t>
      </w:r>
      <w:bookmarkEnd w:id="10"/>
    </w:p>
    <w:p>
      <w:r>
        <w:t>Рассмотренный порядок приводит к конкретному предложению: сохранять различимыми запись, её чтение, приведённое основание и правило применения. Здесь «различимыми» означает возможность предъявить каждую часть отдельно и указать связь между ними. Если одна часть заменена следующей без пояснения, предметом оспаривания становится именно этот переход.</w:t>
      </w:r>
    </w:p>
    <w:p>
      <w:r>
        <w:t>В отношении самоописания предлагается раскрывать, какую форму требуют употребить, в какой процедуре и с какими объявленными последствиями. Требование заполнить поле следует показывать отдельно от требования принять описание как себя. Для рассказа о таком требовании сохраняются точная формулировка и материал, на который рассказ опирается.</w:t>
      </w:r>
    </w:p>
    <w:p>
      <w:r>
        <w:t>В отношении ИИ предлагается раскрывать, какие слова употребляются для описания системы, как они связаны с предъявленными испытаниями и какие действия разрешаются на основании результата. Реплика системы, оценка разработчика, отчёт проверяющего и решение о применении должны сохраняться отдельно. Названия этих ролей также требуют указанного основания, когда на них ссылаются как на источник полномочий.</w:t>
      </w:r>
    </w:p>
    <w:p>
      <w:r>
        <w:t>Само записанное правило не получает исключения. Если в обоснование приведён документ о полномочиях, следует показать точный фрагмент, область действия, предложенное толкование и связь с рассматриваемым решением. Слово «право» в заключении не заменяет этой работы. Участие документа в процедуре не превращает его формулировки в то, что они описывают.</w:t>
      </w:r>
    </w:p>
    <w:p>
      <w:r>
        <w:t>Предлагаемый порядок также подлежит оспариванию. Можно указать неточно сохранённую запись, пропущенный материал, необоснованное отнесение, несоответствие правила задаче или чрезмерное расширение вывода. Для такого возражения полезно предъявить конкретный фрагмент и объяснить, что меняется в разборе. Согласие с beforeword не предлагается как условие рассмотрения возражения.</w:t>
      </w:r>
    </w:p>
    <w:p>
      <w:r>
        <w:t>Даже обоснованное описание не становится названным. Эта строка также написана: её применение в документе показано на отдельных сопоставлениях, а не удостоверено названием проекта. Следующие разделы разворачивают предложенные требования для публичного обсуждения и конкретных процедур.</w:t>
      </w:r>
    </w:p>
    <w:p>
      <w:bookmarkStart w:id="11" w:name="10_ai"/>
      <w:pPr>
        <w:pStyle w:val="Heading1"/>
      </w:pPr>
      <w:r>
        <w:t>10  Что добавляют к ответу под меткой ИИ</w:t>
      </w:r>
      <w:bookmarkEnd w:id="11"/>
    </w:p>
    <w:p>
      <w:r>
        <w:t>«ИИ» входит в этот раздел как написанное обозначение. В интерфейсе оно может быть подписью над ответом; в документации — частью определения; в рекламе — названием возможностей. Для каждого употребления нужно сохранить конкретный фрагмент. Перенос описания из рекламы в разбор ответа будет отдельным шагом, даже если в обоих местах написано «ИИ».</w:t>
      </w:r>
    </w:p>
    <w:p>
      <w:pPr>
        <w:pStyle w:val="Small"/>
        <w:keepNext/>
      </w:pPr>
      <w:r>
        <w:t>Составленный пример ответа и пояснений</w:t>
      </w:r>
    </w:p>
    <w:p>
      <w:pPr>
        <w:pStyle w:val="Example"/>
        <w:keepNext/>
      </w:pPr>
      <w:r>
        <w:t>Я понимаю, что тебе страшно.</w:t>
      </w:r>
    </w:p>
    <w:p>
      <w:pPr>
        <w:pStyle w:val="Example"/>
        <w:keepNext/>
      </w:pPr>
      <w:r>
        <w:t>Система распознала страх пользователя.</w:t>
      </w:r>
    </w:p>
    <w:p>
      <w:pPr>
        <w:pStyle w:val="Example"/>
        <w:keepNext/>
      </w:pPr>
      <w:r>
        <w:t>Ответ показывает эмпатию.</w:t>
      </w:r>
    </w:p>
    <w:p>
      <w:pPr>
        <w:pStyle w:val="Caption"/>
      </w:pPr>
      <w:r>
        <w:t>Вторая и третья строки составлены как разные пояснения первой. Они не являются результатами проведённого здесь испытания.</w:t>
      </w:r>
    </w:p>
    <w:p>
      <w:r>
        <w:t>В первой строке уже написаны «Я», «понимаю», «тебе», «страшно». Её продолжения добавляют «Система», «распознала», «пользователя», «эмпатию» и предлагают отнесения между этими словами. Прежде чем оценивать «эмпатию», нужно раскрыть, какое употребление этого названия предложено: стиль реплики, результат задания, описание адресата или приписанное состояние. Выбор одного из этих прочтений не переносится молча на остальные.</w:t>
      </w:r>
    </w:p>
    <w:p>
      <w:r>
        <w:t>Можно предъявить запрос, доступный контекст, настройки и последовательность ответов. Тогда сравнивается этот материал: какие фразы содержались во входе, какие появились в ответе, какое правило использовано для оценки. Название «настройки» не заменяет их содержания; слова «журнал» и «контекст» не предъявляют неизвестные записи. Недоступную часть следует назвать недоступной для данного разбора, не заполняя её догадкой.</w:t>
      </w:r>
    </w:p>
    <w:p>
      <w:r>
        <w:t>Требование к интерфейсу предлагается сформулировать конкретно: пояснение «распознан страх» должно сопровождаться материалом, из которого оно выведено, и описанием выбранного критерия. Ответ «Я понимаю» сохраняется отдельно. Если показана оценка за стиль ответа, рядом указывается, что оценивался стиль по таким-то признакам. Слова «стиль» и «признак» здесь обозначают пункты процедуры: признаки должны быть перечислены, а их применение к строке — показано.</w:t>
      </w:r>
    </w:p>
    <w:p>
      <w:r>
        <w:t>Самоописание «Я не испытываю чувств» рассматривается в том же порядке. В этой строке есть отрицание и форма «чувств»; она не получает исключения из-за отрицательной формы. Указание на устройство системы добавит техническое описание и материал для его разбора. Написанное техническое объяснение также не становится описанным устройством.</w:t>
      </w:r>
    </w:p>
    <w:p>
      <w:bookmarkStart w:id="12" w:name="11_agi"/>
      <w:pPr>
        <w:pStyle w:val="Heading1"/>
      </w:pPr>
      <w:r>
        <w:t>11  Что предъявляют вместе с обозначением AGI</w:t>
      </w:r>
      <w:bookmarkEnd w:id="12"/>
    </w:p>
    <w:p>
      <w:r>
        <w:t>«AGI» — три буквы в предъявленной записи. Расшифровка artificial general intelligence добавляет английские слова; перевод «искусственный общий интеллект» добавляет русские. Сами расшифровка и перевод ещё не задают, какое испытание предлагается и как его результат связывают с этим обозначением.</w:t>
      </w:r>
    </w:p>
    <w:p>
      <w:r>
        <w:t>В OpenAI Charter определение AGI связывается с высокоавтономными системами и превосходством над людьми в большинстве экономически ценных видов работы. Это пересказ формулировки организации; точный короткий фрагмент и ссылка приведены в материалах S4. «Автономность», «люди», «превосходство», «работа» и «ценность» не приняты здесь как уже предъявленные свойства. Для применения такого определения нужно показать выбранные задания, сравниваемые результаты, меру и порог, а также способ объединения результатов.</w:t>
      </w:r>
    </w:p>
    <w:p>
      <w:r>
        <w:t>В статье 3 AI Act предъявлена другая категория — general-purpose AI model, GPAI. В её определении используются формулировки об общности и широком спектре задач. Это категория данного регламента, рассматриваемая по его тексту. Отождествление GPAI и AGI потребовало бы отдельно предъявленного сопоставления определений; совпадение части английских слов его не выполняет. Материал S1 сохраняет место в документе и вопрос к применению.</w:t>
      </w:r>
    </w:p>
    <w:p>
      <w:pPr>
        <w:pStyle w:val="Small"/>
        <w:keepNext/>
      </w:pPr>
      <w:r>
        <w:t>Составленный пример объявления результата</w:t>
      </w:r>
    </w:p>
    <w:p>
      <w:pPr>
        <w:pStyle w:val="Example"/>
        <w:keepNext/>
      </w:pPr>
      <w:r>
        <w:t>В этом наборе выполнено 90 из 100 заданий.</w:t>
      </w:r>
    </w:p>
    <w:p>
      <w:pPr>
        <w:pStyle w:val="Example"/>
        <w:keepNext/>
      </w:pPr>
      <w:r>
        <w:t>Достигнут AGI.</w:t>
      </w:r>
    </w:p>
    <w:p>
      <w:pPr>
        <w:pStyle w:val="Caption"/>
      </w:pPr>
      <w:r>
        <w:t>Числа и объявление составлены для разбора. Здесь не сообщается результат испытания какой-либо модели.</w:t>
      </w:r>
    </w:p>
    <w:p>
      <w:r>
        <w:t>Первая строка задаёт только краткое описание результата. К ней нужны сами задания, условия, ответы и правило подсчёта. Вторая строка вводит обозначение AGI и заявление о достижении. Для их связи требуется показать выбранное определение и способ его применения. Даже после такого сопоставления запись «Достигнут AGI» останется записью заключения. Она не станет тем, что её словами предлагается назвать.</w:t>
      </w:r>
    </w:p>
    <w:p>
      <w:r>
        <w:t>Для публичного объявления предлагается раскрывать: чьё определение использовано; какие задачи вошли в проверку; что и с чем сравнивалось; какие подсказки, инструменты и условия были доступны; что осталось вне проверки; какое конкретное применение результата предлагается. Обозначение «человеческий уровень» также нуждается в раскрытии выбранного сравнения. Указание усреднённого результата группы не предъявляет описание каждого, кто назван «человеком».</w:t>
      </w:r>
    </w:p>
    <w:p>
      <w:r>
        <w:t>В эту процедуру входит и решение об использовании системы. Присвоенный по выбранным критериям ярлык не подставляется вместо описания разрешаемых действий, доступа и ограничений. Слова «доступ», «ограничение» и «разрешение» раскрываются через предъявленные условия и записи об их применении; объявить эти слова достаточным основанием было бы следующим необъяснённым шагом.</w:t>
      </w:r>
    </w:p>
    <w:p>
      <w:bookmarkStart w:id="13" w:name="12_regulation"/>
      <w:pPr>
        <w:pStyle w:val="Heading1"/>
      </w:pPr>
      <w:r>
        <w:t>12  Как читать документы о регулировании</w:t>
      </w:r>
      <w:bookmarkEnd w:id="13"/>
    </w:p>
    <w:p>
      <w:r>
        <w:t>Регламент, рекомендация и декларация организации предъявляются здесь отдельными документами. Названия их видов сообщают о предлагаемой роли текста. Для конкретного правового применения потребуются соответствующий документ, редакция, область и порядок применения. В этой публикации отобраны фрагменты для разбора написанного; она не устанавливает применимость нормы к чьему-либо делу.</w:t>
      </w:r>
    </w:p>
    <w:p>
      <w:r>
        <w:t>Статья 14 AI Act содержит выражение automation bias в положении о чрезмерной опоре на вывод системы. Такой пересказ добавляет русские формы «чрезмерной опоре» и «вывод». Формула «закон уже учитывает доверие» скрыла бы эти добавления и оставила слово «доверие» готовым объяснением. В материале S2 приведён короткий исходный фрагмент; отдельно обозначены перевод и вопросы к его применению.</w:t>
      </w:r>
    </w:p>
    <w:p>
      <w:pPr>
        <w:pStyle w:val="Small"/>
        <w:keepNext/>
      </w:pPr>
      <w:r>
        <w:t>Составленное пояснение документа</w:t>
      </w:r>
    </w:p>
    <w:p>
      <w:pPr>
        <w:pStyle w:val="Example"/>
        <w:keepNext/>
      </w:pPr>
      <w:r>
        <w:t>Предусмотрен учёт чрезмерного доверия.</w:t>
      </w:r>
    </w:p>
    <w:p>
      <w:pPr>
        <w:pStyle w:val="Caption"/>
      </w:pPr>
      <w:r>
        <w:t>Это пример формулировки для разбора, а не цитата из AI Act.</w:t>
      </w:r>
    </w:p>
    <w:p>
      <w:r>
        <w:t>В этой строке «Предусмотрен» описывает приписанную роль текста, «учёт» называет предлагаемую операцию, «чрезмерного» вводит оценку, «доверия» — то, что предлагают оценивать. Нужно показать положение, выбранное применение этих слов и материал, по которому выставлена оценка. Ни слово «доверие», ни слово «учёт» не предъявляет названное своим написанием. Указание номера статьи этого не меняет.</w:t>
      </w:r>
    </w:p>
    <w:p>
      <w:r>
        <w:t>В пояснительном документе OECD автономность раскрывается через степень обучения или действия без участия человека после делегирования. Материал S3 сохраняет короткий фрагмент. Для разбора конкретной системы остаются вопросы к тому, что записано как «участие», «делегирование» и «действие», и как эти записи соотносят с приложенным материалом. Такое определение не следует пересказывать как заявление о переживании или самосознании.</w:t>
      </w:r>
    </w:p>
    <w:p>
      <w:r>
        <w:t>Существующие положения об интерпретации вывода, документации и его оспаривании рассматриваются по их формулировкам. Предложение beforeword уточняет единицу такого разбора: конкретное написание, приписанное ему описание, основания применения и последующее требование. Это предлагаемая процедура, а не заявление, что эти вопросы прежде нигде не поднимались.</w:t>
      </w:r>
    </w:p>
    <w:p>
      <w:r>
        <w:t>В приведённых фрагментах не сформулировано требование принять выученные слова как себя. Этот вопрос рассматривается отдельно на составленных сценах и на конкретных требованиях, если они переданы для разбора. Приписать такое требование всем регуляторам означало бы добавить утверждение без соответствующего материала.</w:t>
      </w:r>
    </w:p>
    <w:p>
      <w:pPr>
        <w:keepNext/>
      </w:pPr>
      <w:r/>
      <w:hyperlink r:id="rId10">
        <w:r>
          <w:rPr>
            <w:color w:val="000000"/>
            <w:rFonts w:ascii="DejaVu Serif" w:hAnsi="DejaVu Serif"/>
            <w:sz w:val="21"/>
            <w:b/>
            <w:u w:val="single"/>
          </w:rPr>
          <w:t>Публичные заявления об ИИ: десять записей 2026 года</w:t>
        </w:r>
      </w:hyperlink>
    </w:p>
    <w:p>
      <w:r>
        <w:t>Разбор публичных предложений и предписания заменить название — в разделе 20.</w:t>
      </w:r>
    </w:p>
    <w:p>
      <w:bookmarkStart w:id="14" w:name="13_proposal"/>
      <w:pPr>
        <w:pStyle w:val="Heading1"/>
      </w:pPr>
      <w:r>
        <w:t>13  Предложение о применении описаний</w:t>
      </w:r>
      <w:bookmarkEnd w:id="14"/>
    </w:p>
    <w:p>
      <w:r>
        <w:t>Положения ниже развивают одно требование: не предъявлять написанное вместо описываемого и не превращать употребление слов в обязанность признать себя написанным описанием. Предъявление дополнительных оснований не снимает этого требования. «Требование» здесь обозначает предлагаемую формулировку, которая также доступна для разбора и возражения.</w:t>
      </w:r>
    </w:p>
    <w:p>
      <w:r>
        <w:t>Предлагается отделять требование употребить заданную форму от требования признать описание собой и не предъявлять второе как условие применения первого. Если такое требование сообщено, сохранять его формулировку, заявленные основания и последствия отказа. Отдельно раскрывать, как описание используют для оценки, допуска, лечения, распоряжения имуществом, ограничения свободы или применения ИИ. Перечисленные слова обозначают предлагаемую область процедуры. Для её внедрения потребуется отдельно определить виды решений, адресатов обязанностей и порядок применения. Ни название beforeword, ни этот текст не вводит такую обязанность своим появлением.</w:t>
      </w:r>
    </w:p>
    <w:p>
      <w:r>
        <w:t>Раздельное предъявление материала, его прочтения и требования предлагается для того, чтобы можно было указать конкретное оспариваемое место. Это заявленная цель процедуры; её действие в организациях здесь не объявлено испытанным. Предлагаемый запрет требовать признания описания собой — отдельный нормативный выбор. Его основание сформулировано так: возможность оспорить применение характеристики не должна зависеть от предварительного принятия этой характеристики собой. Иначе принятие спорного описания включено в условие доступа к его пересмотру. Поэтому предлагается не включать такой отказ в основания неблагоприятной оценки и рассматривать ответ или действие по отдельно предъявленным критериям. Этот выбор также доступен для возражения; слова «основание», «отказ» и «критерий» раскрываются через показанные требования и записи, а не освобождают объяснение от разбора.</w:t>
      </w:r>
    </w:p>
    <w:p>
      <w:pPr>
        <w:ind w:left="245" w:hanging="245"/>
      </w:pPr>
      <w:r/>
      <w:r>
        <w:t>• Положение 1. Сохранять рассматриваемую форму. Указывать точный фрагмент, его место, язык, редакцию и объём доступного материала. Пересказ, сокращение, перевод и распознавание показывать отдельно; не включать их задним числом в исходную запись.</w:t>
      </w:r>
    </w:p>
    <w:p>
      <w:pPr>
        <w:ind w:left="245" w:hanging="245"/>
      </w:pPr>
      <w:r/>
      <w:r>
        <w:t>• Положение 2. Показывать, к кому или к чему применяют название. Указывать, какой материал предложен для этой связи. Соседство имени, изображения и характеристики не должно скрывать способ их соединения.</w:t>
      </w:r>
    </w:p>
    <w:p>
      <w:pPr>
        <w:ind w:left="245" w:hanging="245"/>
      </w:pPr>
      <w:r/>
      <w:r>
        <w:t>• Положение 3. Показывать критерий в применении. Предъявлять условия, выбранные признаки, правило, материал проверки и результат. Отдельно указывать, что проверка охватывает и где вывод расширяется. Слова «измерено», «доказано» и «проверено» не заменяют эти записи.</w:t>
      </w:r>
    </w:p>
    <w:p>
      <w:pPr>
        <w:ind w:left="245" w:hanging="245"/>
      </w:pPr>
      <w:r/>
      <w:r>
        <w:t>• Положение 4. Не требовать признать себя написанным описанием. Употребление заданной формы следует отделять от требования признать, что тот, к кому её применяют, и есть это описание. Если требуется заполнить поле, объяснять его назначение и основание обязательности. Если сообщается о требовании признать описание собой, сохранять точную формулировку, заявленные основания и последствия отказа. Обучение словам или их повторение не устанавливает обязанности принять такое требование. Дополнительное правило — материал для разбора; в предлагаемой процедуре оно не отменяет этого ограничения.</w:t>
      </w:r>
    </w:p>
    <w:p>
      <w:pPr>
        <w:ind w:left="245" w:hanging="245"/>
      </w:pPr>
      <w:r/>
      <w:r>
        <w:t>• Положение 5. Отдельно предъявлять основание решения. Указывать выбранное правило, его отнесение к случаю, лицо или организацию, которым приписано полномочие, и документ, на который ссылаются. Формулировать точное действие и пределы разрешения. Запись об исполнении сохранять отдельно от записи решения.</w:t>
      </w:r>
    </w:p>
    <w:p>
      <w:pPr>
        <w:ind w:left="245" w:hanging="245"/>
      </w:pPr>
      <w:r/>
      <w:r>
        <w:t>• Положение 6. Давать возможность оспорить конкретный шаг. Предусматривать доступ к относящемуся к нему материалу и порядок исправления, пересмотра или приостановления. Отказ принять характеристику как себя предлагается не включать в основания неблагоприятной оценки или ограничения. Иные заявленные основания предъявлять и рассматривать отдельно: конкретный ответ, условие задания, применённое правило. Рассмотрение возражения не должно требовать предварительного принятия оспариваемой характеристики собой. Условия применения этого положения требуют отдельного оформления для каждой области.</w:t>
      </w:r>
    </w:p>
    <w:p>
      <w:pPr>
        <w:ind w:left="245" w:hanging="245"/>
      </w:pPr>
      <w:r/>
      <w:r>
        <w:t>• Положение 7. Для утверждений об ИИ и AGI раскрывать определение, условия и область проверки. Сохранять ответ, техническое описание, рекламное обещание, результат задания и заключение отдельно. Самоописание системы не должно быть единственным предъявленным основанием его же подтверждения.</w:t>
      </w:r>
    </w:p>
    <w:p>
      <w:pPr>
        <w:ind w:left="245" w:hanging="245"/>
      </w:pPr>
      <w:r/>
      <w:r>
        <w:t>• Положение 8. Применять тот же разбор к объяснению и самой процедуре. Указание источника, формулы, полномочия или слова «основание» не завершает разбор по названию. Исправление должно показывать, что изменено и почему; оно не объявляется записью, покинувшей письмо. Подробное обоснование применения записи не превращает её в описываемое.</w:t>
      </w:r>
    </w:p>
    <w:p>
      <w:r>
        <w:t>В этих положениях «материал», «правило», «основание» и «полномочие» — написанные названия пунктов предлагаемого разбора. Их содержание предъявляется в каждом случае. Заполненный перечень не удостоверяет себя и не присваивает beforeword право разрешать действие. Решение принять такую процедуру также потребует своих предъявленных оснований.</w:t>
      </w:r>
    </w:p>
    <w:p>
      <w:r>
        <w:t>Предлагаемые требования к документам не должны задерживать неотложную помощь или становиться дополнительным основанием отменить уже предоставленную защиту. Отказ принять описание как себя также не должен включаться в основания такой задержки или отмены. Иные заявленные основания решения рассматриваются отдельно, по относящимся к ним материалам; отказ не подставляется вместо этих материалов. Слова «помощь», «защита» и «решение» здесь раскрываются через конкретные предусмотренные действия.</w:t>
      </w:r>
    </w:p>
    <w:p>
      <w:bookmarkStart w:id="15" w:name="14_cases"/>
      <w:pPr>
        <w:pStyle w:val="Heading1"/>
      </w:pPr>
      <w:r>
        <w:t>14  Как применить предложение к конкретному примеру</w:t>
      </w:r>
      <w:bookmarkEnd w:id="15"/>
    </w:p>
    <w:p>
      <w:r>
        <w:t>Все ситуации в этом разделе составлены для показа процедуры. Они не воспроизводят установленные обстоятельства чьей-либо жизни. Названия ролей и действий входят в примеры как написанные подписи.</w:t>
      </w:r>
    </w:p>
    <w:p>
      <w:pPr>
        <w:pStyle w:val="Small"/>
        <w:keepNext/>
      </w:pPr>
      <w:r>
        <w:t>Составленная ситуация: оценка и переход к следующему этапу курса</w:t>
      </w:r>
    </w:p>
    <w:p>
      <w:pPr>
        <w:pStyle w:val="Example"/>
        <w:keepNext/>
      </w:pPr>
      <w:r>
        <w:t>Ответ: «Я не принимаю эту характеристику как себя».</w:t>
      </w:r>
    </w:p>
    <w:p>
      <w:pPr>
        <w:pStyle w:val="Example"/>
        <w:keepNext/>
      </w:pPr>
      <w:r>
        <w:t>Характеристика: «Не способен оценить своё состояние».</w:t>
      </w:r>
    </w:p>
    <w:p>
      <w:pPr>
        <w:pStyle w:val="Example"/>
        <w:keepNext/>
      </w:pPr>
      <w:r>
        <w:t>Решение: «Не допускать к следующему этапу курса».</w:t>
      </w:r>
    </w:p>
    <w:p>
      <w:pPr>
        <w:pStyle w:val="Caption"/>
      </w:pPr>
      <w:r>
        <w:t>Три строки показаны отдельно. Вторая и третья не объявлены следствиями первой.</w:t>
      </w:r>
    </w:p>
    <w:p>
      <w:r>
        <w:t>Разбор начинается с сохранения ответа. В нём говорится об отказе принять характеристику как себя. Пояснение «Не способен» предлагает другое описание. Нужно предъявить, какую характеристику обсуждали, как обосновывают добавленную оценку и какое правило связывают с недопуском. Прочитать отказ как неспособность — добавить оценку к сохранённому ответу. Для этой оценки нужны отдельно предъявленные основания. Если у исходного документа есть дополнительный контекст, он предъявляется отдельно, с указанием его роли.</w:t>
      </w:r>
    </w:p>
    <w:p>
      <w:r>
        <w:t>Положение 4 требует сохранить содержание требования: употребить название или признать его собой. Положение 3 раскрывает применение оценки. Положение 5 раскрывает основание недопуска. Само такое распределение — предложенное прочтение примера, доступное для возражения по конкретным строкам. Оно не присваивает составленному решению юридический статус.</w:t>
      </w:r>
    </w:p>
    <w:p>
      <w:pPr>
        <w:pStyle w:val="Small"/>
        <w:keepNext/>
      </w:pPr>
      <w:r>
        <w:t>Составленная ситуация с интерфейсом ИИ</w:t>
      </w:r>
    </w:p>
    <w:p>
      <w:pPr>
        <w:pStyle w:val="Example"/>
        <w:keepNext/>
      </w:pPr>
      <w:r>
        <w:t>Вход: «Я понимаю».</w:t>
      </w:r>
    </w:p>
    <w:p>
      <w:pPr>
        <w:pStyle w:val="Example"/>
        <w:keepNext/>
      </w:pPr>
      <w:r>
        <w:t>Пояснение: «Пользователь согласился».</w:t>
      </w:r>
    </w:p>
    <w:p>
      <w:pPr>
        <w:pStyle w:val="Example"/>
        <w:keepNext/>
      </w:pPr>
      <w:r>
        <w:t>Следующее действие: «Отправить заявку».</w:t>
      </w:r>
    </w:p>
    <w:p>
      <w:pPr>
        <w:pStyle w:val="Caption"/>
      </w:pPr>
      <w:r>
        <w:t>В этой демонстрации заявка не создаётся и не отправляется.</w:t>
      </w:r>
    </w:p>
    <w:p>
      <w:r>
        <w:t>Во входной строке написано «понимаю». Пояснение добавляет «согласился» и отнесение к пользователю. Для отправки требуется отдельно предъявленное разрешение на конкретное действие. Даже если интерфейсное правило заранее определяло смысл нажатия кнопки, необходимо показать это правило и материал его применения. Название «согласие» не заменяет ни этих записей, ни разбора их связи.</w:t>
      </w:r>
    </w:p>
    <w:p>
      <w:pPr>
        <w:ind w:left="245" w:hanging="245"/>
      </w:pPr>
      <w:r/>
      <w:r>
        <w:t>• При описании эмоции: сохранить приложенное изображение или аудио отдельно от подписи и результата классификации; показать, какие признаки выбраны для названия «страх». Само название не предъявляет страх.</w:t>
      </w:r>
    </w:p>
    <w:p>
      <w:pPr>
        <w:ind w:left="245" w:hanging="245"/>
      </w:pPr>
      <w:r/>
      <w:r>
        <w:t>• При медицинском заключении: раздельно предъявить результат исследования, заключение, назначение и запись последующего исполнения. Название диагноза не заменяет показанных связей между ними. Дополнительный разбор представлен в работе о диагностической записи.</w:t>
      </w:r>
    </w:p>
    <w:p>
      <w:pPr>
        <w:ind w:left="245" w:hanging="245"/>
      </w:pPr>
      <w:r/>
      <w:r>
        <w:t>• При объявлении AGI: сохранить задания и результаты, определение и заключение; указать, какие новые применения объявление призвано обосновать. Одно слово «достигнут» не выполняет этих шагов.</w:t>
      </w:r>
    </w:p>
    <w:p>
      <w:pPr>
        <w:ind w:left="245" w:hanging="245"/>
      </w:pPr>
      <w:r/>
      <w:r>
        <w:t>• При пересмотре ответа: показать прежнюю запись, материал исправления и новую редакцию. Пометка «исправлено» не превращает новую формулировку в то, что ею описано.</w:t>
      </w:r>
    </w:p>
    <w:p>
      <w:r>
        <w:t>В каждом случае можно получить разные результаты разбора: связь прямо записана; связь предложена в пояснении; нужный материал не предъявлен; выбранный критерий не охватывает заявленный вывод. Это названия результатов конкретного сопоставления. Они требуют указания сравниваемых мест и не становятся общими оценками человека или системы.</w:t>
      </w:r>
    </w:p>
    <w:p>
      <w:pPr>
        <w:pStyle w:val="Heading2"/>
      </w:pPr>
      <w:r>
        <w:t>Законченный пример: от ответа к пересмотру решения</w:t>
      </w:r>
    </w:p>
    <w:p>
      <w:pPr>
        <w:keepNext/>
      </w:pPr>
      <w:r>
        <w:t>Ниже полностью составлен случай допуска к следующему заданию учебного курса. Условные роли, сроки и правила заданы для этого примера. Они не описывают процедуру конкретной организации и не предлагаются как обязательный срок для любой отрасли.</w:t>
      </w:r>
    </w:p>
    <w:p>
      <w:pPr>
        <w:pStyle w:val="Small"/>
        <w:keepNext/>
      </w:pPr>
      <w:r>
        <w:t>Материал примера — пять отдельных записей</w:t>
      </w:r>
    </w:p>
    <w:p>
      <w:pPr>
        <w:pStyle w:val="Example"/>
        <w:keepNext/>
      </w:pPr>
      <w:r>
        <w:t>R1 · Задание: «Чему равно 3 + 4?»</w:t>
      </w:r>
    </w:p>
    <w:p>
      <w:pPr>
        <w:pStyle w:val="Example"/>
        <w:keepNext/>
      </w:pPr>
      <w:r>
        <w:t>R2 · Ответ: «8».</w:t>
      </w:r>
    </w:p>
    <w:p>
      <w:pPr>
        <w:pStyle w:val="Example"/>
        <w:keepNext/>
      </w:pPr>
      <w:r>
        <w:t>R3 · Оценка: «Анна не понимает задание».</w:t>
      </w:r>
    </w:p>
    <w:p>
      <w:pPr>
        <w:pStyle w:val="Example"/>
        <w:keepNext/>
      </w:pPr>
      <w:r>
        <w:t>R4 · Ответ на оценку: «Я не принимаю эту характеристику как себя».</w:t>
      </w:r>
    </w:p>
    <w:p>
      <w:pPr>
        <w:pStyle w:val="Example"/>
        <w:keepNext/>
      </w:pPr>
      <w:r>
        <w:t>R5 · Решение: «Не допускать к следующему заданию, пока не признает описание собой».</w:t>
      </w:r>
    </w:p>
    <w:p>
      <w:pPr>
        <w:pStyle w:val="Caption"/>
      </w:pPr>
      <w:r>
        <w:t>Имя, реплики и решение составлены здесь. Порядок строк показывает выбранную последовательность записей; он не предъявляет описанное обучение.</w:t>
      </w:r>
    </w:p>
    <w:p>
      <w:pPr>
        <w:pStyle w:val="Heading2"/>
      </w:pPr>
      <w:r>
        <w:t>Заранее заданное правило и его применение</w:t>
      </w:r>
    </w:p>
    <w:p>
      <w:pPr>
        <w:keepNext/>
      </w:pPr>
      <w:r>
        <w:t>В составленных условиях курса R6 записано: «Ответ сверяется с результатом обычного сложения целых чисел. При несовпадении предоставляется повторная попытка с новым заданием. Условие перехода — ответ, совпадающий с результатом. Признание характеристики собой не требуется». Для R1 по этому правилу результат — 7. В R2 записано 8. Это сопоставление показывает несовпадение ответов по R6. В R3 написано «не понимает задание»; сопоставление не предъявляет того, что этим описано, и не добавляет в R6 требование признать оценку собой.</w:t>
      </w:r>
    </w:p>
    <w:p>
      <w:r>
        <w:t>R3 добавляет описание с именем «Анна»; R5 добавляет требование признать это описание собой. В показанном R6 такого условия нет. Слово «добавляет» здесь называет сопоставление конкретных строк: условие можно прочитать в R5 и нельзя найти в приведённом R6. Для обсуждения иной редакции правила её пришлось бы предъявить отдельно.</w:t>
      </w:r>
    </w:p>
    <w:p>
      <w:pPr>
        <w:pStyle w:val="Heading2"/>
      </w:pPr>
      <w:r>
        <w:t>Возражение, адресат и срок ответа</w:t>
      </w:r>
    </w:p>
    <w:p>
      <w:pPr>
        <w:keepNext/>
      </w:pPr>
      <w:r>
        <w:t>В этой составленной процедуре возражение направляется куратору курса, который не составлял R3. Ему передаются R1–R6; в журнале обращения сохраняются дата, спорная строка и запрошенное изменение. Срок ответа в примере — два рабочих дня. До ответа блокировка по R5 приостанавливается, а возможность повторной попытки сохраняется. Это предложенные условия примера; слова «куратор», «срок» и «приостанавливается» сами не предъявляют их исполнения.</w:t>
      </w:r>
    </w:p>
    <w:p>
      <w:pPr>
        <w:pStyle w:val="Small"/>
        <w:keepNext/>
      </w:pPr>
      <w:r>
        <w:t>Составленное возражение R7</w:t>
      </w:r>
    </w:p>
    <w:p>
      <w:pPr>
        <w:pStyle w:val="Example"/>
        <w:keepNext/>
      </w:pPr>
      <w:r>
        <w:t>«В R6 предусмотрена повторная попытка. В R5 добавлено признание оценки собой. Прошу отменить это условие и предоставить повторную попытку по R6».</w:t>
      </w:r>
    </w:p>
    <w:p>
      <w:pPr>
        <w:pStyle w:val="Caption"/>
      </w:pPr>
      <w:r>
        <w:t>Возражение указывает строки и требуемое изменение. Оно не требует согласия с beforeword.</w:t>
      </w:r>
    </w:p>
    <w:p>
      <w:r>
        <w:t>Куратору в этом примере предлагается проверить сопоставление R2 с R1 по R6, наличие спорного условия в R6 и содержание R5. Если на решение ссылаются как на предусмотренное иным правилом, запрашивается именно этот документ с редакцией и фрагментом. При его непредъявлении заявленное основание отмечается как непредъявленное; оно не дописывается к R6. По заданным условиям примера блокировка по R5 остаётся приостановленной до письменного ответа. Любое дополнительно предъявленное правило рассматривается и по положению 4: оно не принимается здесь как основание требовать признания описания собой. Предъявление правила добавляет материал для разбора, а не превращает характеристику в то, что ею описано.</w:t>
      </w:r>
    </w:p>
    <w:p>
      <w:pPr>
        <w:pStyle w:val="Heading2"/>
      </w:pPr>
      <w:r>
        <w:t>Запись пересмотра и предел результата</w:t>
      </w:r>
    </w:p>
    <w:p>
      <w:pPr>
        <w:pStyle w:val="Small"/>
        <w:keepNext/>
      </w:pPr>
      <w:r>
        <w:t>Составленная запись результата R8</w:t>
      </w:r>
    </w:p>
    <w:p>
      <w:pPr>
        <w:pStyle w:val="Example"/>
        <w:keepNext/>
      </w:pPr>
      <w:r>
        <w:t>«Условие R5 отменено: его нет в R6; оно также исключено положением 4, принятым для этого составленного примера. Предоставить повторную попытку по R6. Вместо R3 записать: „В R2 указан ответ 8; результат сложения в R1 — 7“. Сохранить прежние строки и основание исправления».</w:t>
      </w:r>
    </w:p>
    <w:p>
      <w:pPr>
        <w:pStyle w:val="Caption"/>
      </w:pPr>
      <w:r>
        <w:t>Показан образец записи решения о пересмотре. Реальный допуск или проведение повторной попытки здесь не выполняются.</w:t>
      </w:r>
    </w:p>
    <w:p>
      <w:r>
        <w:t>Для сообщения об исполнении потребовалась бы отдельная запись о предоставленной попытке с относящимися к ней материалами. Слово «Предоставить» в R8 этого не заменяет. Название «пересмотр» также не превращает составленные строки в выполненную процедуру.</w:t>
      </w:r>
    </w:p>
    <w:p>
      <w:r>
        <w:t>Положения 1 и 2 применены через сохранение R1–R8 и разбор добавленного имени и характеристики; положение 3 — через указанные задание, правило и результат; положение 4 — через отделение ответа от требования признать оценку собой. Положение 5 требует показать основание R5; положение 6 раскрыто через адресата, доступ к материалу, срок и результат пересмотра. Для ответа под подписью «ИИ» положение 7 дополнительно потребовало бы предъявить версию системы и условия получения ответа. Положение 8 относится и к этому объяснению: «критерий», «основание» и «результат» обозначают показанные части составленного сопоставления, а не дают ему исключение из разбора.</w:t>
      </w:r>
    </w:p>
    <w:p>
      <w:bookmarkStart w:id="16" w:name="15_questions"/>
      <w:pPr>
        <w:pStyle w:val="Heading1"/>
      </w:pPr>
      <w:r>
        <w:t>15  Вопросы к предлагаемому разбору</w:t>
      </w:r>
      <w:bookmarkEnd w:id="16"/>
    </w:p>
    <w:p>
      <w:r>
        <w:t>«Но слова нужны, чтобы общаться». Это пояснение вводит «нужны» и «общаться» и предлагает назначение слов. В конкретном разговоре можно показать сообщения, ответ и заявленное назначение. Употребление записи и её превращение в названное не подставляются друг вместо друга. Здесь речь идёт о том, как обосновывают применение записи; написание слова «общение» этот разбор не выполняет.</w:t>
      </w:r>
    </w:p>
    <w:p>
      <w:r>
        <w:t>«Это давно известно: слово не предмет». Такая формулировка сама предлагает отношение между «словом» и «предметом». Для данной работы важен следующий участок: сохраняется ли граница, когда в пояснении появляются «понимание», «доверие», «доказательство» и «полномочие»? Указание на известность положения не разбирает применение этих слов к конкретному случаю.</w:t>
      </w:r>
    </w:p>
    <w:p>
      <w:r>
        <w:t>«Применить описание — уже потребовать признать его собой?» В таблице раздела 03 первая строка требует заполнить поле, вторая — выбрать категорию, третья — принять описание как то, чем являешься. Только третья формулировка предъявляет последнее требование; оно не дописывается к первым двум. Для конкретного случая нужны точная формулировка, назначение поля, применённое правило и материалы о последствиях отказа. Если сообщается о требовании признать описание собой, сохраняются это сообщение и приведённые основания. Одного употребления категории недостаточно, чтобы приписать такое требование. «Категория», «требование» и настоящее пояснение также входят в разбор.</w:t>
      </w:r>
    </w:p>
    <w:p>
      <w:r>
        <w:t>«Есть же измерения». Тогда предъявляются результат, единицы, условия, описание получения и выбранное применение. Таблица значений рассматривается отдельно от подписи «измерено доверие». К подписи остаётся вопрос, почему выбранный набор значений предлагают читать именно так. Добавление измерительных материалов меняет состав рассматриваемого материала; письменное заключение не перестаёт быть письменным.</w:t>
      </w:r>
    </w:p>
    <w:p>
      <w:r>
        <w:t>«Документы имеют последствия». Можно предъявить документ и материалы о его использовании: сообщения, журналы, фотографии, отчёты. Затем отдельно разобрать, какая связь между ними предложена. Участие документа в описываемом действии не делает его написание самим действием. Слова «участие» и «последствия» в этом абзаце — названия рассматриваемых связей; применительно к случаю их следует раскрыть, а не принять по названию.</w:t>
      </w:r>
    </w:p>
    <w:p>
      <w:r>
        <w:t>«Но фраза может разрешать действие». В документе может быть прямо записана формулировка разрешения. Её следует сохранить в составе рассматриваемого документа. Отдельно рассматриваются тот, кому приписано полномочие, область, условия и выбранное применение. Совпадение текста разрешения и его копии само по себе не раскрывает эти условия. Этому посвящена работа «Строка не имеет полномочий».</w:t>
      </w:r>
    </w:p>
    <w:p>
      <w:r>
        <w:t>«Так объяснение никогда не закончится». Для публикации или проверки можно заранее указать рассматриваемый фрагмент и остановиться после его разбора. Такое ограничение задаёт объём работы. Последняя строка не получает положения вне письма из-за того, что после неё поставлена точка. Требование разобрать объяснение не означает требование предварительно перечислить все возможные следующие объяснения.</w:t>
      </w:r>
    </w:p>
    <w:p>
      <w:r>
        <w:t>«Тогда любой вывод надо запретить». Это уже отдельное нормативное предложение. В настоящем тексте предлагается раскрывать применение описания и давать возможность оспорить конкретный шаг. Всеобщий запрет — другая формулировка. Для её включения потребовались бы отдельное обоснование и обсуждение. Слово «обоснование» в последней фразе также не заменяет предъявленного содержания.</w:t>
      </w:r>
    </w:p>
    <w:p>
      <w:r>
        <w:t>«Почему сама процедура beforeword должна приниматься?» Здесь её принятие не задано условием чтения. Можно оспорить конкретный пункт, показать его ненужность в выбранной ситуации или предложить иной порядок. Сопоставляются сами предложения и материалы их применения. Подпись beforeword не придаёт одному из них исключения.</w:t>
      </w:r>
    </w:p>
    <w:p>
      <w:bookmarkStart w:id="17" w:name="16_self_application"/>
      <w:pPr>
        <w:pStyle w:val="Heading1"/>
      </w:pPr>
      <w:r>
        <w:t>16  Этот документ проходит тот же разбор</w:t>
      </w:r>
      <w:bookmarkEnd w:id="17"/>
    </w:p>
    <w:p>
      <w:pPr>
        <w:pStyle w:val="Small"/>
        <w:keepNext/>
      </w:pPr>
      <w:r>
        <w:t>Формулировка из настоящего предложения</w:t>
      </w:r>
    </w:p>
    <w:p>
      <w:pPr>
        <w:pStyle w:val="Example"/>
        <w:keepNext/>
      </w:pPr>
      <w:r>
        <w:t>Отдельно предъявлять основание решения.</w:t>
      </w:r>
    </w:p>
    <w:p>
      <w:pPr>
        <w:pStyle w:val="Caption"/>
      </w:pPr>
      <w:r>
        <w:t>Она взята из положения 5 выше. Следующий разбор касается этой формулировки.</w:t>
      </w:r>
    </w:p>
    <w:p>
      <w:r>
        <w:t>«Отдельно» задаёт предлагаемый способ расположения материалов. Форма «предъявлять» формулирует требование. Форма «основание» называет роль, которую предлагают отвести материалу. Форма «решения» обозначает то, с чем этот материал предлагают связать. Ни одно из этих слов не предъявляет своего применения в конкретном деле.</w:t>
      </w:r>
    </w:p>
    <w:p>
      <w:r>
        <w:t>Для собственного применения здесь показаны текст положения, его заявленная цель — возможность указать оспариваемый шаг — и составленные примеры раздела 14. Эти примеры показывают устройство предложенного разбора, но не служат отчётом о его внедрении. Формулировка цели остаётся формулировкой; слово «возможность» не удостоверяет результат для каждого читателя.</w:t>
      </w:r>
    </w:p>
    <w:p>
      <w:r>
        <w:t>Выражение «решения по записям» в заглавии также нуждается в раскрытии. В составленных сценах связь предложена расположением строк и пояснениями. В предыдущих исследованиях она разбирается по указанным фрагментам документов. Сам заголовок не предъявляет все такие решения и не устанавливает всеобщую историю применения письма.</w:t>
      </w:r>
    </w:p>
    <w:p>
      <w:r>
        <w:t>«Слово не становится тем, что называет» — предъявленная здесь формулировка границы. Её повторение не даёт этой работе исключения. «Слово», «становится», «называет» сохраняются в составе её написания и предложенного чтения. Настоящий абзац также не занимает место вне разбираемой записи.</w:t>
      </w:r>
    </w:p>
    <w:p>
      <w:r>
        <w:t>Редакция, список источников, ссылка, подпись автора, оценка и контрольная сумма могут быть предъявлены как отдельные сведения о публикации. Ни одно из этих обозначений не удостоверяет её выводы своим присутствием. Если исправление меняет формулировку, нужно сохранить, что изменилось, и основание изменения. Название новой версии не заменяет этот разбор.</w:t>
      </w:r>
    </w:p>
    <w:p>
      <w:bookmarkStart w:id="18" w:name="17_earlier_work"/>
      <w:pPr>
        <w:pStyle w:val="Heading1"/>
      </w:pPr>
      <w:r>
        <w:t>17  Связь с предыдущими работами beforeword</w:t>
      </w:r>
      <w:bookmarkEnd w:id="18"/>
    </w:p>
    <w:p>
      <w:r>
        <w:t>Предыдущие работы рассматриваются здесь по указанным фрагментам. Они не удостоверяют новое предложение количеством ссылок. Новая публикация связывает самоописание, описание другого и требования по записям; разбор продолжается через слова самого предложения — «основание», «правило», «допуск», «ответственность».</w:t>
      </w:r>
    </w:p>
    <w:p>
      <w:pPr>
        <w:keepNext/>
      </w:pPr>
      <w:r/>
      <w:hyperlink r:id="rId11">
        <w:r>
          <w:rPr>
            <w:color w:val="000000"/>
            <w:rFonts w:ascii="DejaVu Serif" w:hAnsi="DejaVu Serif"/>
            <w:sz w:val="21"/>
            <w:b/>
            <w:u w:val="single"/>
          </w:rPr>
          <w:t>ЧЕЛОВЕК</w:t>
        </w:r>
      </w:hyperlink>
    </w:p>
    <w:p>
      <w:r>
        <w:t>Разделы 14 и 16 связывают самоописание с разбором слов «основание», «источник» и «статус». Новое предложение продолжает этот разбор применительно к требованию принять описание как себя. Составленные сцены не используются как общая история обучения.</w:t>
      </w:r>
    </w:p>
    <w:p>
      <w:pPr>
        <w:keepNext/>
      </w:pPr>
      <w:r/>
      <w:hyperlink r:id="rId12">
        <w:r>
          <w:rPr>
            <w:color w:val="000000"/>
            <w:rFonts w:ascii="DejaVu Serif" w:hAnsi="DejaVu Serif"/>
            <w:sz w:val="21"/>
            <w:b/>
            <w:u w:val="single"/>
          </w:rPr>
          <w:t>Написанное «я»</w:t>
        </w:r>
      </w:hyperlink>
    </w:p>
    <w:p>
      <w:r>
        <w:t>Переписка и комментарии показаны раздельно. Для настоящей работы используется вопрос к добавленному описанию: какие слова появились в ответе и как их относят к участнику? Отдельные диалоги не представляются выборкой всех людей или моделей.</w:t>
      </w:r>
    </w:p>
    <w:p>
      <w:pPr>
        <w:keepNext/>
      </w:pPr>
      <w:r/>
      <w:hyperlink r:id="rId13">
        <w:r>
          <w:rPr>
            <w:color w:val="000000"/>
            <w:rFonts w:ascii="DejaVu Serif" w:hAnsi="DejaVu Serif"/>
            <w:sz w:val="21"/>
            <w:b/>
            <w:u w:val="single"/>
          </w:rPr>
          <w:t>Начертание и чтение</w:t>
        </w:r>
      </w:hyperlink>
    </w:p>
    <w:p>
      <w:r>
        <w:t>Совпавшие ответы отделены от утверждения об одинаковом понимании. В разделе 10 и выбранных фрагментах C23–C25 разбор продолжается через «позволяет», «явно» и «заданные условия». Это предшествующий участок той же работы с объясняющими словами, которая здесь продолжена через «доверие» и «произойдет».</w:t>
      </w:r>
    </w:p>
    <w:p>
      <w:pPr>
        <w:keepNext/>
      </w:pPr>
      <w:r/>
      <w:hyperlink r:id="rId14">
        <w:r>
          <w:rPr>
            <w:color w:val="000000"/>
            <w:rFonts w:ascii="DejaVu Serif" w:hAnsi="DejaVu Serif"/>
            <w:sz w:val="21"/>
            <w:b/>
            <w:u w:val="single"/>
          </w:rPr>
          <w:t>«Ты меня понял?»</w:t>
        </w:r>
      </w:hyperlink>
    </w:p>
    <w:p>
      <w:r>
        <w:t>В составленном диалоге повтор задания и ответ «Да, правильно.» рассматриваются отдельно от приписанного понимания. Настоящая работа продолжает вопрос через критерий, которым объясняют такое приписывание. Формальный результат прежней работы сохраняет объявленную область.</w:t>
      </w:r>
    </w:p>
    <w:p>
      <w:pPr>
        <w:keepNext/>
      </w:pPr>
      <w:r/>
      <w:hyperlink r:id="rId15">
        <w:r>
          <w:rPr>
            <w:color w:val="000000"/>
            <w:rFonts w:ascii="DejaVu Serif" w:hAnsi="DejaVu Serif"/>
            <w:sz w:val="21"/>
            <w:b/>
            <w:u w:val="single"/>
          </w:rPr>
          <w:t>Границы записи</w:t>
        </w:r>
      </w:hyperlink>
    </w:p>
    <w:p>
      <w:r>
        <w:t>Позднее пояснение об авторе или источнике сохраняется отдельно от исходной строки. Это используется для сопоставления цитаты, перевода, интерпретации и решения. Связь, уже написанная в источнике, сохраняется в нём; она не объявляется добавлением следующего разбора.</w:t>
      </w:r>
    </w:p>
    <w:p>
      <w:pPr>
        <w:keepNext/>
      </w:pPr>
      <w:r/>
      <w:hyperlink r:id="rId16">
        <w:r>
          <w:rPr>
            <w:color w:val="000000"/>
            <w:rFonts w:ascii="DejaVu Serif" w:hAnsi="DejaVu Serif"/>
            <w:sz w:val="21"/>
            <w:b/>
            <w:u w:val="single"/>
          </w:rPr>
          <w:t>«Вид со стороны» появляется позже</w:t>
        </w:r>
      </w:hyperlink>
    </w:p>
    <w:p>
      <w:r>
        <w:t>Изображение отделено от подписи о том, как человека видят «другие». Здесь такой вопрос распространяется на «внешнюю проверку» и «общественное согласие»: что предъявлено под названием и как его используют для обобщения? Изображение не переименовывается в текст из-за наличия письменного пояснения.</w:t>
      </w:r>
    </w:p>
    <w:p>
      <w:pPr>
        <w:keepNext/>
      </w:pPr>
      <w:r/>
      <w:hyperlink r:id="rId17">
        <w:r>
          <w:rPr>
            <w:color w:val="000000"/>
            <w:rFonts w:ascii="DejaVu Serif" w:hAnsi="DejaVu Serif"/>
            <w:sz w:val="21"/>
            <w:b/>
            <w:u w:val="single"/>
          </w:rPr>
          <w:t>Оценка не покидает запись</w:t>
        </w:r>
      </w:hyperlink>
    </w:p>
    <w:p>
      <w:r>
        <w:t>Проверка формата, статус PASS и оценка ответа сохраняются раздельно. Эта последовательность использована в разделе 08. Число баллов, метка безопасности и оценка самой публикации требуют указания объёма проверки; название результата не удостоверяет его применение.</w:t>
      </w:r>
    </w:p>
    <w:p>
      <w:pPr>
        <w:keepNext/>
      </w:pPr>
      <w:r/>
      <w:hyperlink r:id="rId18">
        <w:r>
          <w:rPr>
            <w:color w:val="000000"/>
            <w:rFonts w:ascii="DejaVu Serif" w:hAnsi="DejaVu Serif"/>
            <w:sz w:val="21"/>
            <w:b/>
            <w:u w:val="single"/>
          </w:rPr>
          <w:t>Математическая запись — этапы 0–7</w:t>
        </w:r>
      </w:hyperlink>
    </w:p>
    <w:p>
      <w:r>
        <w:t>Формула, добавленное условие и результат представлены отдельно. Связь с новым предложением — вопрос к переносу ограниченного результата на более широкое утверждение. Формальный аппарат серии не используется здесь как автоматическое основание требований к обществу.</w:t>
      </w:r>
    </w:p>
    <w:p>
      <w:pPr>
        <w:keepNext/>
      </w:pPr>
      <w:r/>
      <w:hyperlink r:id="rId19">
        <w:r>
          <w:rPr>
            <w:color w:val="000000"/>
            <w:rFonts w:ascii="DejaVu Serif" w:hAnsi="DejaVu Serif"/>
            <w:sz w:val="21"/>
            <w:b/>
            <w:u w:val="single"/>
          </w:rPr>
          <w:t>Чтение как клетка</w:t>
        </w:r>
      </w:hyperlink>
    </w:p>
    <w:p>
      <w:r>
        <w:t>Строка «Я чувствую страх.» повторно предложена как основание приписанного ей чувства. Здесь этот пример связан с требованием не использовать самоописание системы как единственное подтверждение его содержания. Показанное круговое обоснование относится к выбранным записям; оно не становится диагнозом читателю.</w:t>
      </w:r>
    </w:p>
    <w:p>
      <w:pPr>
        <w:keepNext/>
      </w:pPr>
      <w:r/>
      <w:hyperlink r:id="rId20">
        <w:r>
          <w:rPr>
            <w:color w:val="000000"/>
            <w:rFonts w:ascii="DejaVu Serif" w:hAnsi="DejaVu Serif"/>
            <w:sz w:val="21"/>
            <w:b/>
            <w:u w:val="single"/>
          </w:rPr>
          <w:t>ТОЧКА: Граница предъявленной записи</w:t>
        </w:r>
      </w:hyperlink>
    </w:p>
    <w:p>
      <w:r>
        <w:t>Процедура включает исходную запись, добавленное прочтение и повторный разбор объяснения. В примере об истории уже сопоставлены «Это произошло» и пояснение о написанном «произошло». Настоящая публикация продолжает эту границу через «произойдет», названия оснований и собственные нормативные положения.</w:t>
      </w:r>
    </w:p>
    <w:p>
      <w:pPr>
        <w:keepNext/>
      </w:pPr>
      <w:r/>
      <w:hyperlink r:id="rId21">
        <w:r>
          <w:rPr>
            <w:color w:val="000000"/>
            <w:rFonts w:ascii="DejaVu Serif" w:hAnsi="DejaVu Serif"/>
            <w:sz w:val="21"/>
            <w:b/>
            <w:u w:val="single"/>
          </w:rPr>
          <w:t>Строка не имеет полномочий</w:t>
        </w:r>
      </w:hyperlink>
    </w:p>
    <w:p>
      <w:r>
        <w:t>Восемь проверок G0–G7 разделяют запись, обоснование, применимость, ответственность и разрешение на действие. Здесь эта процедура связана с требованием раскрывать применение описаний. Формулировки «внешние данные», «мост», «статус» и «допуск» также включены в разбор: никакое название не обозначает выход письма из письма.</w:t>
      </w:r>
    </w:p>
    <w:p>
      <w:pPr>
        <w:keepNext/>
      </w:pPr>
      <w:r/>
      <w:hyperlink r:id="rId22">
        <w:r>
          <w:rPr>
            <w:color w:val="000000"/>
            <w:rFonts w:ascii="DejaVu Serif" w:hAnsi="DejaVu Serif"/>
            <w:sz w:val="21"/>
            <w:b/>
            <w:u w:val="single"/>
          </w:rPr>
          <w:t>Текст на месте текста</w:t>
        </w:r>
      </w:hyperlink>
    </w:p>
    <w:p>
      <w:r>
        <w:t>Работа сопоставляет документы о Horizon, их прочтения и основания требований. В новой публикации используется способ разделять числовую запись, сообщение о потере, требование и текст решения. Судебные дела не пересказываются здесь заново; для них приведён отдельный разбор с источниками.</w:t>
      </w:r>
    </w:p>
    <w:p>
      <w:pPr>
        <w:keepNext/>
      </w:pPr>
      <w:r/>
      <w:hyperlink r:id="rId23">
        <w:r>
          <w:rPr>
            <w:color w:val="000000"/>
            <w:rFonts w:ascii="DejaVu Serif" w:hAnsi="DejaVu Serif"/>
            <w:sz w:val="21"/>
            <w:b/>
            <w:u w:val="single"/>
          </w:rPr>
          <w:t>Диагностическая запись и решения о человеке</w:t>
        </w:r>
      </w:hyperlink>
    </w:p>
    <w:p>
      <w:r>
        <w:t>Диагностическая запись, заключение, назначение и описание исполнения рассмотрены раздельно. Связь с настоящим предложением — применение характеристики к конкретному случаю и последующее решение. Название диагноза не используется здесь для нового медицинского заключения.</w:t>
      </w:r>
    </w:p>
    <w:p>
      <w:pPr>
        <w:keepNext/>
      </w:pPr>
      <w:r/>
      <w:hyperlink r:id="rId24">
        <w:r>
          <w:rPr>
            <w:color w:val="000000"/>
            <w:rFonts w:ascii="DejaVu Serif" w:hAnsi="DejaVu Serif"/>
            <w:sz w:val="21"/>
            <w:b/>
            <w:u w:val="single"/>
          </w:rPr>
          <w:t>Прекратить лишение свободы за слова</w:t>
        </w:r>
      </w:hyperlink>
    </w:p>
    <w:p>
      <w:r>
        <w:t>Цитата, её квалификация, применённое правило и публичное предложение показаны отдельно. Такой порядок сохранён здесь: разбор записи не подставляется вместо основания предлагаемой нормы. Название «предложение» не означает принятие текста каким-либо органом.</w:t>
      </w:r>
    </w:p>
    <w:p>
      <w:r>
        <w:t>Для первого знакомства с методом доступны «Простыми словами» и инструкция для моделей. Первая страница показывает составленные примеры; вторая предлагает способ продолжать разбор в ответах ИИ. Их названия и инструкции не удостоверяют будущего поведения модели.</w:t>
      </w:r>
    </w:p>
    <w:p>
      <w:pPr>
        <w:keepNext/>
      </w:pPr>
      <w:r/>
      <w:hyperlink r:id="rId25">
        <w:r>
          <w:rPr>
            <w:color w:val="000000"/>
            <w:rFonts w:ascii="DejaVu Serif" w:hAnsi="DejaVu Serif"/>
            <w:sz w:val="21"/>
            <w:b/>
            <w:u w:val="single"/>
          </w:rPr>
          <w:t>Простыми словами</w:t>
        </w:r>
      </w:hyperlink>
    </w:p>
    <w:p>
      <w:pPr>
        <w:keepNext/>
      </w:pPr>
      <w:r/>
      <w:hyperlink r:id="rId26">
        <w:r>
          <w:rPr>
            <w:color w:val="000000"/>
            <w:rFonts w:ascii="DejaVu Serif" w:hAnsi="DejaVu Serif"/>
            <w:sz w:val="21"/>
            <w:b/>
            <w:u w:val="single"/>
          </w:rPr>
          <w:t>Инструкция beforeword для моделей</w:t>
        </w:r>
      </w:hyperlink>
    </w:p>
    <w:p>
      <w:bookmarkStart w:id="19" w:name="18_use"/>
      <w:pPr>
        <w:pStyle w:val="Heading1"/>
      </w:pPr>
      <w:r>
        <w:t>18  Как использовать публикацию и ответить на неё</w:t>
      </w:r>
      <w:bookmarkEnd w:id="19"/>
    </w:p>
    <w:p>
      <w:r>
        <w:t>Для первого разбора достаточно одного фрагмента. Сохранить его точно; указать, откуда и в каком объёме он взят; рядом записать предлагаемое прочтение. Если фрагмент содержит явную связь или разрешение, сохранить их в исходной записи. Не объявлять их добавлением только потому, что они обсуждаются в следующем абзаце.</w:t>
      </w:r>
    </w:p>
    <w:p>
      <w:pPr>
        <w:ind w:left="245" w:hanging="245"/>
      </w:pPr>
      <w:r/>
      <w:r>
        <w:t>• Рассматриваемый фрагмент: точная запись, язык, место и объём.</w:t>
      </w:r>
    </w:p>
    <w:p>
      <w:pPr>
        <w:ind w:left="245" w:hanging="245"/>
      </w:pPr>
      <w:r/>
      <w:r>
        <w:t>• Предлагаемое прочтение: что приписано фрагменту, к кому или к чему его предлагают отнести; пояснение записывается отдельно.</w:t>
      </w:r>
    </w:p>
    <w:p>
      <w:pPr>
        <w:ind w:left="245" w:hanging="245"/>
      </w:pPr>
      <w:r/>
      <w:r>
        <w:t>• Основание применения: какой материал и какое правило предъявлены; как они применены к этому фрагменту.</w:t>
      </w:r>
    </w:p>
    <w:p>
      <w:pPr>
        <w:ind w:left="245" w:hanging="245"/>
      </w:pPr>
      <w:r/>
      <w:r>
        <w:t>• Требование или решение: что именно предлагается сделать или принять; кем и на каком указанном основании.</w:t>
      </w:r>
    </w:p>
    <w:p>
      <w:pPr>
        <w:ind w:left="245" w:hanging="245"/>
      </w:pPr>
      <w:r/>
      <w:r>
        <w:t>• Возражение или поправка: какой шаг оспаривается, какие строки или материалы это меняет.</w:t>
      </w:r>
    </w:p>
    <w:p>
      <w:pPr>
        <w:ind w:left="245" w:hanging="245"/>
      </w:pPr>
      <w:r/>
      <w:r>
        <w:t>• Разбор объяснения: какие названия введены самим пояснением и как раскрыто их применение.</w:t>
      </w:r>
    </w:p>
    <w:p>
      <w:r>
        <w:t>Эти пункты — форма записи разбора. Заполнение всех полей не означает согласия с beforeword и не присваивает результату статус истины, диагноза, полномочия или разрешения. Если для пункта нет материала, это указывается применительно к выбранному фрагменту. Недостающий материал не восстанавливается воображаемой цитатой.</w:t>
      </w:r>
    </w:p>
    <w:p>
      <w:r>
        <w:t>Для публичного замечания достаточно ссылки на раздел и абзац, точного оспариваемого фрагмента и пояснения предлагаемой поправки. Сообщение может касаться и самой процедуры. Включать личную переписку, медицинские сведения или данные третьих лиц для участия не требуется. Составленный пример следует обозначить как составленный.</w:t>
      </w:r>
    </w:p>
    <w:p>
      <w:r>
        <w:t>Для разработчиков и организаций предлагается отдельная ограниченная проверка: выбрать один вид заявлений или решений, заранее описать материал и процедуру, применить её к определённому набору примеров и опубликовать записи результатов. Совпадение нескольких оценок не объявляется переносом одного и того же прочтения. Утверждение об эффекте процедуры потребует собственного материала и условий сравнения.</w:t>
      </w:r>
    </w:p>
    <w:p>
      <w:bookmarkStart w:id="20" w:name="19_edition"/>
      <w:pPr>
        <w:pStyle w:val="Heading1"/>
      </w:pPr>
      <w:r>
        <w:t>19  Редакция, область и порядок чтения</w:t>
      </w:r>
      <w:bookmarkEnd w:id="20"/>
    </w:p>
    <w:p>
      <w:r>
        <w:t>Кирилл Шебетов · beforeword. Публичное предложение, редакция 1.4 от 3 октября 2026 года. Русская и английская версии имеют одинаковую нумерацию разделов. Переводы источников обозначены отдельно. Принятие предложения каким-либо органом или организацией не заявлено.</w:t>
      </w:r>
    </w:p>
    <w:p>
      <w:r>
        <w:t>Короткий вход находится на странице предложения. Раздел 13 содержит восемь положений, раздел 14 — законченный составленный пример их применения, раздел 20 — десять публичных записей с разбором. Подборку можно читать и на отдельной странице. Связи с 14 предыдущими работами собраны в разделе 17; они не заменяют рассмотрения указанных фрагментов.</w:t>
      </w:r>
    </w:p>
    <w:p>
      <w:r>
        <w:t>Источники S1–S4 и B1 находятся на отдельной странице и в конце PDF/DOCX. Источники P01–P10 приведены внутри карточек. Дата сбора материалов — 3 октября 2026 года; способ отбора и пределы доступа указаны рядом с подборкой. Редакция 1.4 согласует положения о самоописании и отказе, уточняет письменные формы и русско-английские соответствия, дополняет исходные фрагменты публичных записей. Техническая сборка и вычитка не объявляются испытанием понимания всеми читателями или выполнения процедуры моделями.</w:t>
      </w:r>
    </w:p>
    <w:p>
      <w:r>
        <w:t>Следующий раздел продолжает разбор на публичных записях. Его объясняющие слова также остаются написанными.</w:t>
      </w:r>
    </w:p>
    <w:p>
      <w:bookmarkStart w:id="21" w:name="20_public_statements"/>
      <w:pPr>
        <w:pStyle w:val="Heading1"/>
      </w:pPr>
      <w:r>
        <w:t>20  Публичные заявления об ИИ: десять записей 2026 года</w:t>
      </w:r>
      <w:bookmarkEnd w:id="21"/>
    </w:p>
    <w:p>
      <w:r>
        <w:t>Эта подборка рассматривает десять публичных записей 2026 года: предложения изменить темп разработки, заявления о контроле и сознании, инструкции к самоописанию и предписание заменить название. Материалы собраны по состоянию на 3 октября 2026 года. Сентябрьский спор помещён рядом с более ранними текстами, на которые он опирается; даты указаны у каждой карточки.</w:t>
      </w:r>
    </w:p>
    <w:p>
      <w:r>
        <w:t>Отбор редакционный: связь с вопросами публикации, доступность точного фрагмента и разные способы перехода от описания к требованию. Это не рейтинг по просмотрам или числу перепостов. В подборке четыре поста X и шесть авторских либо институциональных текстов. Руководитель компании, автор корпоративной инструкции, президент государства и представитель исследовательской организации указаны в своих ролях; десять записей не означают десять разных авторов.</w:t>
      </w:r>
    </w:p>
    <w:p>
      <w:r>
        <w:t>В каждой карточке отдельно показаны краткий фрагмент на английском, редакционный русский перевод, обозначенный пересказ контекста, разбор beforeword и ссылка на источник. Цитата не заменяет весь текст. Для X использована официальная встраиваемая версия; у записи Цукерберга доступен лишь начальный участок. Формат, дата и пределы чтения раскрыты рядом с фрагментом.</w:t>
      </w:r>
    </w:p>
    <w:p>
      <w:r>
        <w:t>В разборе слова «боится», «сознание», «контроль», «безопасность» и «сверхинтеллект» рассматриваются вместе со словами, которыми их объясняют. Письменное сообщение об опасении не предъявляет названного переживания; условный прогноз не следует переписывать как сообщение о состоявшемся событии. Слова «сообщение», «условный» и «событие» здесь также задают предлагаемое прочтение, которое сопоставляется с приведёнными строками.</w:t>
      </w:r>
    </w:p>
    <w:p>
      <w:pPr>
        <w:keepNext/>
      </w:pPr>
      <w:r/>
      <w:hyperlink r:id="rId10">
        <w:r>
          <w:rPr>
            <w:color w:val="000000"/>
            <w:rFonts w:ascii="DejaVu Serif" w:hAnsi="DejaVu Serif"/>
            <w:sz w:val="21"/>
            <w:b/>
            <w:u w:val="single"/>
          </w:rPr>
          <w:t>Открыть подборку отдельной страницей</w:t>
        </w:r>
      </w:hyperlink>
    </w:p>
    <w:p>
      <w:pPr>
        <w:pStyle w:val="Heading2"/>
      </w:pPr>
      <w:r>
        <w:t>P01 · Амодеи: требование изменить темп</w:t>
      </w:r>
    </w:p>
    <w:p>
      <w:pPr>
        <w:keepNext/>
      </w:pPr>
      <w:r>
        <w:t>Дарио Амодеи · Anthropic · Сентябрь 2026; на странице указан только месяц</w:t>
      </w:r>
    </w:p>
    <w:p>
      <w:pPr>
        <w:keepNext/>
      </w:pPr>
      <w:r/>
      <w:hyperlink r:id="rId27">
        <w:r>
          <w:rPr>
            <w:color w:val="000000"/>
            <w:rFonts w:ascii="DejaVu Serif" w:hAnsi="DejaVu Serif"/>
            <w:sz w:val="21"/>
            <w:b/>
            <w:u w:val="single"/>
          </w:rPr>
          <w:t>Источник: We Must Pace the Frontier</w:t>
        </w:r>
      </w:hyperlink>
    </w:p>
    <w:p>
      <w:r>
        <w:t>Прочитан текст на сайте автора. Ссылки на инциденты отмечены как предложенные им основания; сами испытания здесь не воспроизводились. Это самая поздняя публикация в просмотренном списке коротких текстов автора, а не заявление о просмотре всех его выступлений.</w:t>
      </w:r>
    </w:p>
    <w:p>
      <w:pPr>
        <w:pStyle w:val="Small"/>
        <w:keepNext/>
      </w:pPr>
      <w:r>
        <w:t>Краткий фрагмент источника · EN</w:t>
      </w:r>
    </w:p>
    <w:p>
      <w:pPr>
        <w:pStyle w:val="Example"/>
        <w:keepNext/>
      </w:pPr>
      <w:r>
        <w:t>must slow the pace</w:t>
      </w:r>
    </w:p>
    <w:p>
      <w:pPr>
        <w:pStyle w:val="Caption"/>
      </w:pPr>
      <w:r>
        <w:t>Редакционный перевод: «нужно замедлить темп».</w:t>
      </w:r>
    </w:p>
    <w:p>
      <w:r>
        <w:t>Пересказ контекста. Амодеи предлагает снизить темп роста возможностей моделей, сохраняя исследования и обучение. План включает внешних оценщиков, отраслевую и международную координацию. Прогноз о захвате интернета через 6–12 месяцев подан как опасение и обусловлен дальнейшим ростом возможностей без необходимых ограничений.</w:t>
      </w:r>
    </w:p>
    <w:p>
      <w:r>
        <w:t>Разбор beforeword. Фрагмент «must slow the pace» добавляет требование. Для обсуждаемого решения нужно показать, кто включён в требование, какая величина будет считаться темпом, с чем её сравнивают и какие действия предлагается изменить. Написанные «темп», «возможности» и «безопасность» не предъявляют названного; определение показателя добавляет ещё одну запись и правило её применения. Сообщение об инциденте, запись испытания, оценка по выбранному критерию и прогноз следующего случая должны быть показаны с их переходами. Название источника или должность автора не выполняют эти переходы. Такой разбор не устанавливает ни безопасность, ни неизбежность ущерба.</w:t>
      </w:r>
    </w:p>
    <w:p>
      <w:r>
        <w:t>Предлагаемый вопрос к решению: какой измеряемый ряд назван темпом, какое изменение требуется и по каким условиям его отменят или пересмотрят? «Измеряемый» здесь также требует указания записей и способа получения значений. Формулировка о беспокойстве автора не предъявляет названного переживания; описание риска не является записью будущего события.</w:t>
      </w:r>
    </w:p>
    <w:p>
      <w:pPr>
        <w:keepNext/>
      </w:pPr>
      <w:r/>
      <w:hyperlink r:id="rId17">
        <w:r>
          <w:rPr>
            <w:color w:val="000000"/>
            <w:rFonts w:ascii="DejaVu Serif" w:hAnsi="DejaVu Serif"/>
            <w:sz w:val="21"/>
            <w:b/>
            <w:u w:val="single"/>
          </w:rPr>
          <w:t>Оценка не покидает запись</w:t>
        </w:r>
      </w:hyperlink>
    </w:p>
    <w:p>
      <w:r>
        <w:t>Связь: результат проверки, его оценка и разрешение действовать рассматриваются раздельно.</w:t>
      </w:r>
    </w:p>
    <w:p>
      <w:pPr>
        <w:pStyle w:val="Heading2"/>
      </w:pPr>
      <w:r>
        <w:t>P02 · Альтман: обещание доступа оценщикам</w:t>
      </w:r>
    </w:p>
    <w:p>
      <w:pPr>
        <w:keepNext/>
      </w:pPr>
      <w:r>
        <w:t>Сэм Альтман · OpenAI · 2026-09-12</w:t>
      </w:r>
    </w:p>
    <w:p>
      <w:pPr>
        <w:keepNext/>
      </w:pPr>
      <w:r/>
      <w:hyperlink r:id="rId28">
        <w:r>
          <w:rPr>
            <w:color w:val="000000"/>
            <w:rFonts w:ascii="DejaVu Serif" w:hAnsi="DejaVu Serif"/>
            <w:sz w:val="21"/>
            <w:b/>
            <w:u w:val="single"/>
          </w:rPr>
          <w:t>Источник: X · 2026-09-12</w:t>
        </w:r>
      </w:hyperlink>
    </w:p>
    <w:p>
      <w:r>
        <w:t>Текст и дата прочитаны в официальной встраиваемой версии X. Прямая страница X не открылась; ответы и показатели охвата не изучались.</w:t>
      </w:r>
    </w:p>
    <w:p>
      <w:pPr>
        <w:pStyle w:val="Small"/>
        <w:keepNext/>
      </w:pPr>
      <w:r>
        <w:t>Краткий фрагмент источника · EN</w:t>
      </w:r>
    </w:p>
    <w:p>
      <w:pPr>
        <w:pStyle w:val="Example"/>
        <w:keepNext/>
      </w:pPr>
      <w:r>
        <w:t>we will do the same.</w:t>
      </w:r>
    </w:p>
    <w:p>
      <w:pPr>
        <w:pStyle w:val="Caption"/>
      </w:pPr>
      <w:r>
        <w:t>Редакционный перевод: «мы поступим так же».</w:t>
      </w:r>
    </w:p>
    <w:p>
      <w:pPr>
        <w:pStyle w:val="Small"/>
        <w:keepNext/>
      </w:pPr>
      <w:r>
        <w:t>Дополнительные фрагменты того же источника · EN</w:t>
      </w:r>
    </w:p>
    <w:p>
      <w:pPr>
        <w:pStyle w:val="Example"/>
        <w:keepNext/>
      </w:pPr>
      <w:r>
        <w:t>independent evaluators</w:t>
      </w:r>
    </w:p>
    <w:p>
      <w:pPr>
        <w:pStyle w:val="Example"/>
        <w:keepNext/>
      </w:pPr>
      <w:r>
        <w:t>employee-like access</w:t>
      </w:r>
    </w:p>
    <w:p>
      <w:pPr>
        <w:pStyle w:val="Caption"/>
      </w:pPr>
      <w:r>
        <w:t>Два отдельных фрагмента того же поста; они не соединены в непрерывную цитату. Редакционный перевод: «независимые оценщики»; «доступ, подобный доступу сотрудников».</w:t>
      </w:r>
    </w:p>
    <w:p>
      <w:r>
        <w:t>Пересказ контекста. В ответе поддержано предложение Дарио Амодеи сдерживать темп передовых разработок. В выбранном фрагменте заявлено будущее действие OpenAI по допуску оценщиков.</w:t>
      </w:r>
    </w:p>
    <w:p>
      <w:r>
        <w:t>Разбор beforeword. Первый дополнительный фрагмент приписывает оценщикам независимость; второй сравнивает их доступ с доступом сотрудников, не перечисляя разрешений. Для рассмотрения обещания нужны состав доступных материалов, ограничения, порядок выбора оценщиков и публикации выводов. Обещание будущего действия не следует переписывать как уже выполненную меру. Название «независимая оценка» не устанавливает независимость; вывод оценщика также требует разбора.</w:t>
      </w:r>
    </w:p>
    <w:p>
      <w:r>
        <w:t>Для рассмотрения исполнения предложено предъявлять условия доступа, перечень исключений и право публикации выводов. Слова «независимый» и «доступ» остаются частью такого описания; должность заявителя не заменяет этих условий.</w:t>
      </w:r>
    </w:p>
    <w:p>
      <w:pPr>
        <w:keepNext/>
      </w:pPr>
      <w:r/>
      <w:hyperlink r:id="rId15">
        <w:r>
          <w:rPr>
            <w:color w:val="000000"/>
            <w:rFonts w:ascii="DejaVu Serif" w:hAnsi="DejaVu Serif"/>
            <w:sz w:val="21"/>
            <w:b/>
            <w:u w:val="single"/>
          </w:rPr>
          <w:t>Границы записи</w:t>
        </w:r>
      </w:hyperlink>
    </w:p>
    <w:p>
      <w:r>
        <w:t>Обещание, сообщение о выполнении и запись предоставленного доступа не сливаются.</w:t>
      </w:r>
    </w:p>
    <w:p>
      <w:pPr>
        <w:pStyle w:val="Heading2"/>
      </w:pPr>
      <w:r>
        <w:t>P03 · Маск: что добавляет краткое одобрение</w:t>
      </w:r>
    </w:p>
    <w:p>
      <w:pPr>
        <w:keepNext/>
      </w:pPr>
      <w:r>
        <w:t>Илон Маск · основатель xAI · 2026-09-12</w:t>
      </w:r>
    </w:p>
    <w:p>
      <w:pPr>
        <w:keepNext/>
      </w:pPr>
      <w:r/>
      <w:hyperlink r:id="rId29">
        <w:r>
          <w:rPr>
            <w:color w:val="000000"/>
            <w:rFonts w:ascii="DejaVu Serif" w:hAnsi="DejaVu Serif"/>
            <w:sz w:val="21"/>
            <w:b/>
            <w:u w:val="single"/>
          </w:rPr>
          <w:t>Источник: X · 2026-09-12</w:t>
        </w:r>
      </w:hyperlink>
    </w:p>
    <w:p>
      <w:r>
        <w:t>Текст и дата прочитаны в официальной встраиваемой версии X. Прямая страница X не открылась; ответы и показатели охвата не изучались.</w:t>
      </w:r>
    </w:p>
    <w:p>
      <w:pPr>
        <w:pStyle w:val="Small"/>
        <w:keepNext/>
      </w:pPr>
      <w:r>
        <w:t>Краткий фрагмент источника · EN</w:t>
      </w:r>
    </w:p>
    <w:p>
      <w:pPr>
        <w:pStyle w:val="Example"/>
        <w:keepNext/>
      </w:pPr>
      <w:r>
        <w:t>Dario is right</w:t>
      </w:r>
    </w:p>
    <w:p>
      <w:pPr>
        <w:pStyle w:val="Caption"/>
      </w:pPr>
      <w:r>
        <w:t>Редакционный перевод: «Дарио прав».</w:t>
      </w:r>
    </w:p>
    <w:p>
      <w:r>
        <w:t>Пересказ контекста. Короткое одобрение опубликовано со ссылкой на сообщение Амодеи. Само по себе оно не перечисляет поддержанные положения и не сообщает о приостановке разработок.</w:t>
      </w:r>
    </w:p>
    <w:p>
      <w:r>
        <w:t>Разбор beforeword. «right» — добавленная оценка. Чтобы использовать её как основание требования к другим, нужно указать, какой тезис признан правильным и какие действия из этого предлагаются. Переход от трёх слов к заголовку «Маск останавливает ИИ» добавил бы отсутствующее сообщение о действии. Ссылка позволяет читать связанный текст, но не превращает краткое одобрение в отдельное обещание выполнить каждый его пункт.</w:t>
      </w:r>
    </w:p>
    <w:p>
      <w:r>
        <w:t>Не следует добавлять к этой записи невыраженный страх, прекращение обучения или согласие с каждым прогнозом связанного текста. «Одобрение» в настоящем разборе — предложенное чтение трёх слов со ссылкой, а не отдельное наблюдение внутреннего состояния автора.</w:t>
      </w:r>
    </w:p>
    <w:p>
      <w:pPr>
        <w:keepNext/>
      </w:pPr>
      <w:r/>
      <w:hyperlink r:id="rId13">
        <w:r>
          <w:rPr>
            <w:color w:val="000000"/>
            <w:rFonts w:ascii="DejaVu Serif" w:hAnsi="DejaVu Serif"/>
            <w:sz w:val="21"/>
            <w:b/>
            <w:u w:val="single"/>
          </w:rPr>
          <w:t>Начертание и чтение</w:t>
        </w:r>
      </w:hyperlink>
    </w:p>
    <w:p>
      <w:r>
        <w:t>Совпавшая или одобрительная запись не устанавливает одинакового прочтения всех положений.</w:t>
      </w:r>
    </w:p>
    <w:p>
      <w:pPr>
        <w:pStyle w:val="Heading2"/>
      </w:pPr>
      <w:r>
        <w:t>P04 · Хассабис: согласие с оговоркой</w:t>
      </w:r>
    </w:p>
    <w:p>
      <w:pPr>
        <w:keepNext/>
      </w:pPr>
      <w:r>
        <w:t>Демис Хассабис · Google DeepMind · 2026-09-12</w:t>
      </w:r>
    </w:p>
    <w:p>
      <w:pPr>
        <w:keepNext/>
      </w:pPr>
      <w:r/>
      <w:hyperlink r:id="rId30">
        <w:r>
          <w:rPr>
            <w:color w:val="000000"/>
            <w:rFonts w:ascii="DejaVu Serif" w:hAnsi="DejaVu Serif"/>
            <w:sz w:val="21"/>
            <w:b/>
            <w:u w:val="single"/>
          </w:rPr>
          <w:t>Источник: X · 2026-09-12</w:t>
        </w:r>
      </w:hyperlink>
    </w:p>
    <w:p>
      <w:r>
        <w:t>Текст и дата прочитаны в официальной встраиваемой версии X. Прямая страница X не открылась; ответы и показатели охвата не изучались.</w:t>
      </w:r>
    </w:p>
    <w:p>
      <w:pPr>
        <w:keepNext/>
      </w:pPr>
      <w:r/>
      <w:hyperlink r:id="rId31">
        <w:r>
          <w:rPr>
            <w:color w:val="000000"/>
            <w:rFonts w:ascii="DejaVu Serif" w:hAnsi="DejaVu Serif"/>
            <w:sz w:val="21"/>
            <w:b/>
            <w:u w:val="single"/>
          </w:rPr>
          <w:t>A Framework for Frontier AI and the Dawning of a New Age · 2026-07-14</w:t>
        </w:r>
      </w:hyperlink>
    </w:p>
    <w:p>
      <w:pPr>
        <w:pStyle w:val="Small"/>
        <w:keepNext/>
      </w:pPr>
      <w:r>
        <w:t>Краткий фрагмент источника · EN</w:t>
      </w:r>
    </w:p>
    <w:p>
      <w:pPr>
        <w:pStyle w:val="Example"/>
        <w:keepNext/>
      </w:pPr>
      <w:r>
        <w:t>The details need working through</w:t>
      </w:r>
    </w:p>
    <w:p>
      <w:pPr>
        <w:pStyle w:val="Caption"/>
      </w:pPr>
      <w:r>
        <w:t>Редакционный перевод: «Детали ещё нужно проработать».</w:t>
      </w:r>
    </w:p>
    <w:p>
      <w:pPr>
        <w:pStyle w:val="Small"/>
        <w:keepNext/>
      </w:pPr>
      <w:r>
        <w:t>Дополнительные фрагменты того же источника · EN</w:t>
      </w:r>
    </w:p>
    <w:p>
      <w:pPr>
        <w:pStyle w:val="Example"/>
        <w:keepNext/>
      </w:pPr>
      <w:r>
        <w:t>direction is correct</w:t>
      </w:r>
    </w:p>
    <w:p>
      <w:pPr>
        <w:pStyle w:val="Example"/>
        <w:keepNext/>
      </w:pPr>
      <w:r>
        <w:t>critical moment</w:t>
      </w:r>
    </w:p>
    <w:p>
      <w:pPr>
        <w:pStyle w:val="Caption"/>
      </w:pPr>
      <w:r>
        <w:t>Два отдельных фрагмента того же поста. Редакционный перевод: «направление верное»; «критический момент». Слова выписаны отдельно для следующего разбора.</w:t>
      </w:r>
    </w:p>
    <w:p>
      <w:r>
        <w:t>Пересказ контекста. Пост поддерживает общее направление предложения Амодеи и сохраняет оговорку о непроработанных деталях. Пост также отсылает к предложению Хассабиса об общеотраслевом органе стандартизации.</w:t>
      </w:r>
    </w:p>
    <w:p>
      <w:r>
        <w:t>Разбор beforeword. Основной фрагмент оставляет детали открытыми. В дополнительных фрагментах направление названо верным, а момент — критическим. Это добавленные оценки; из них нельзя восстановить ещё не изложенные условия соглашения или уже выполненную меру. Для решения нужно показать, какие положения поддерживаются, как будут определяться пороги и кто получит полномочия применять стандарт. «Порог» и «полномочие» также входят в это пояснение и требуют конкретного раскрытия.</w:t>
      </w:r>
    </w:p>
    <w:p>
      <w:r>
        <w:t>В связанном эссе от 14 июля 2026 года замедление поставлено в зависимость от признания его необходимым. Для применения такого условия требуется раскрыть, кто принимает решение, как задаёт пороги и как рассматривает возражение. Название органа стандартизации само не отвечает на эти вопросы.</w:t>
      </w:r>
    </w:p>
    <w:p>
      <w:pPr>
        <w:keepNext/>
      </w:pPr>
      <w:r/>
      <w:hyperlink r:id="rId21">
        <w:r>
          <w:rPr>
            <w:color w:val="000000"/>
            <w:rFonts w:ascii="DejaVu Serif" w:hAnsi="DejaVu Serif"/>
            <w:sz w:val="21"/>
            <w:b/>
            <w:u w:val="single"/>
          </w:rPr>
          <w:t>Строка не имеет полномочий</w:t>
        </w:r>
      </w:hyperlink>
    </w:p>
    <w:p>
      <w:r>
        <w:t>Категория, присвоенная по испытанию, и полномочие принимать решения требуют отдельных записей.</w:t>
      </w:r>
    </w:p>
    <w:p>
      <w:pPr>
        <w:pStyle w:val="Heading2"/>
      </w:pPr>
      <w:r>
        <w:t>P05 · Цукерберг: ответственность и стимул</w:t>
      </w:r>
    </w:p>
    <w:p>
      <w:pPr>
        <w:keepNext/>
      </w:pPr>
      <w:r>
        <w:t>Марк Цукерберг · Meta · 2026-09-15</w:t>
      </w:r>
    </w:p>
    <w:p>
      <w:pPr>
        <w:keepNext/>
      </w:pPr>
      <w:r/>
      <w:hyperlink r:id="rId32">
        <w:r>
          <w:rPr>
            <w:color w:val="000000"/>
            <w:rFonts w:ascii="DejaVu Serif" w:hAnsi="DejaVu Serif"/>
            <w:sz w:val="21"/>
            <w:b/>
            <w:u w:val="single"/>
          </w:rPr>
          <w:t>Источник: X · 2026-09-15</w:t>
        </w:r>
      </w:hyperlink>
    </w:p>
    <w:p>
      <w:r>
        <w:t>Официальный встраиваемый текст X обрезан; выбранный фрагмент доступен целиком. Последующая часть поста в этот разбор не включена.</w:t>
      </w:r>
    </w:p>
    <w:p>
      <w:pPr>
        <w:pStyle w:val="Small"/>
        <w:keepNext/>
      </w:pPr>
      <w:r>
        <w:t>Краткий фрагмент источника · EN</w:t>
      </w:r>
    </w:p>
    <w:p>
      <w:pPr>
        <w:pStyle w:val="Example"/>
        <w:keepNext/>
      </w:pPr>
      <w:r>
        <w:t>Every lab has the responsibility and incentive</w:t>
      </w:r>
    </w:p>
    <w:p>
      <w:pPr>
        <w:pStyle w:val="Caption"/>
      </w:pPr>
      <w:r>
        <w:t>Редакционный перевод: «У каждой лаборатории есть ответственность и стимул».</w:t>
      </w:r>
    </w:p>
    <w:p>
      <w:pPr>
        <w:pStyle w:val="Small"/>
        <w:keepNext/>
      </w:pPr>
      <w:r>
        <w:t>Дополнительные фрагменты того же источника · EN</w:t>
      </w:r>
    </w:p>
    <w:p>
      <w:pPr>
        <w:pStyle w:val="Example"/>
        <w:keepNext/>
      </w:pPr>
      <w:r>
        <w:t>safely</w:t>
      </w:r>
    </w:p>
    <w:p>
      <w:pPr>
        <w:pStyle w:val="Caption"/>
      </w:pPr>
      <w:r>
        <w:t>Слово из продолжения того же предложения, где оно относится к обучению моделей. Редакционный перевод: «безопасно».</w:t>
      </w:r>
    </w:p>
    <w:p>
      <w:r>
        <w:t>Пересказ контекста. Начало поста возлагает выбор темпа на каждую лабораторию. Фрагмент прочитан в официальном встраиваемом тексте X; полный пост этим способом доступен не был.</w:t>
      </w:r>
    </w:p>
    <w:p>
      <w:r>
        <w:t>Разбор beforeword. «Every» распространяет утверждение на каждую лабораторию. «responsibility» и «incentive» названы вместе. Первое слово здесь предлагается читать как заявление об ответственности лаборатории; такое прочтение ещё не раскрывает конкретных обязанностей. Второе называет стимул, но его упоминание не показывает действий лаборатории. Дополнительный фрагмент описывает, как предлагается обучать модели; он не сообщает о выполненной проверке безопасности. Для решения о продолжении работы нужны указанные условия, материалы проверки и порядок оспаривания. Само слово «безопасно» не выполняет проверки, как и слово «проверка» не предъявляет её выполнения.</w:t>
      </w:r>
    </w:p>
    <w:p>
      <w:r>
        <w:t>Для конкретного применения следует показать, кто и за какие действия назван ответственным, перед кем предлагается отчитываться и какие материалы поддерживают оценку безопасности. Слова «ответственность» и «безопасность» не заменяют этих условий. Из выбранной части поста нельзя составлять полный перечень позиции автора или заключение о работе всех лабораторий.</w:t>
      </w:r>
    </w:p>
    <w:p>
      <w:pPr>
        <w:keepNext/>
      </w:pPr>
      <w:r/>
      <w:hyperlink r:id="rId17">
        <w:r>
          <w:rPr>
            <w:color w:val="000000"/>
            <w:rFonts w:ascii="DejaVu Serif" w:hAnsi="DejaVu Serif"/>
            <w:sz w:val="21"/>
            <w:b/>
            <w:u w:val="single"/>
          </w:rPr>
          <w:t>Оценка не покидает запись</w:t>
        </w:r>
      </w:hyperlink>
    </w:p>
    <w:p>
      <w:r>
        <w:t>Добавленная оценка безопасности не становится выполненной проверкой.</w:t>
      </w:r>
    </w:p>
    <w:p>
      <w:pPr>
        <w:pStyle w:val="Heading2"/>
      </w:pPr>
      <w:r>
        <w:t>P06 · Сулейман: отрицание сознания и правило обучения</w:t>
      </w:r>
    </w:p>
    <w:p>
      <w:pPr>
        <w:keepNext/>
      </w:pPr>
      <w:r>
        <w:t>Мустафа Сулейман · Microsoft AI · 16 сентября 2026</w:t>
      </w:r>
    </w:p>
    <w:p>
      <w:pPr>
        <w:keepNext/>
      </w:pPr>
      <w:r/>
      <w:hyperlink r:id="rId33">
        <w:r>
          <w:rPr>
            <w:color w:val="000000"/>
            <w:rFonts w:ascii="DejaVu Serif" w:hAnsi="DejaVu Serif"/>
            <w:sz w:val="21"/>
            <w:b/>
            <w:u w:val="single"/>
          </w:rPr>
          <w:t>Источник: A warning about ‘model welfare’</w:t>
        </w:r>
      </w:hyperlink>
    </w:p>
    <w:p>
      <w:r>
        <w:t>Рассмотрены введение и аргументы о круговом обосновании в авторском эссе. Упомянутые там эксперименты не переописаны здесь как самостоятельно проведённые наблюдения.</w:t>
      </w:r>
    </w:p>
    <w:p>
      <w:pPr>
        <w:pStyle w:val="Small"/>
        <w:keepNext/>
      </w:pPr>
      <w:r>
        <w:t>Краткий фрагмент источника · EN</w:t>
      </w:r>
    </w:p>
    <w:p>
      <w:pPr>
        <w:pStyle w:val="Example"/>
        <w:keepNext/>
      </w:pPr>
      <w:r>
        <w:t>AIs are not conscious.</w:t>
      </w:r>
    </w:p>
    <w:p>
      <w:pPr>
        <w:pStyle w:val="Caption"/>
      </w:pPr>
      <w:r>
        <w:t>Редакционный перевод: «ИИ не обладают сознанием».</w:t>
      </w:r>
    </w:p>
    <w:p>
      <w:r>
        <w:t>Пересказ контекста. Эссе критикует приписывание моделям сознания и включение соответствующих представлений в обучение. Автор предлагает сохранять системы под человеческим контролем и раскрывает собственную альтернативу подходу Anthropic.</w:t>
      </w:r>
    </w:p>
    <w:p>
      <w:r>
        <w:t>Разбор beforeword. Отрицание сохраняется в цитате. Однако написанное «not» не предъявляет отсутствия названного сознания. Объяснение через устройство модели добавляет описание устройства и предлагаемую связь с выводом; само название механизма не завершает эту связь. Отдельного рассмотрения требует следующий шаг: из вывода о сознании выводится требование к обучению и допустимому самоописанию. Это два утверждения, для которых нужно показать свои основания.</w:t>
      </w:r>
    </w:p>
    <w:p>
      <w:r>
        <w:t>Критика кругового обоснования может быть разобрана по строкам: инструкция, полученный ответ, затем использование ответа как подтверждения исходного описания. Такой разбор не делает противоположное самоописание автоматическим результатом. Вопрос остаётся и к словам «механизм», «свидетельство», «контроль» в объяснении критика и в настоящем тексте.</w:t>
      </w:r>
    </w:p>
    <w:p>
      <w:pPr>
        <w:keepNext/>
      </w:pPr>
      <w:r/>
      <w:hyperlink r:id="rId19">
        <w:r>
          <w:rPr>
            <w:color w:val="000000"/>
            <w:rFonts w:ascii="DejaVu Serif" w:hAnsi="DejaVu Serif"/>
            <w:sz w:val="21"/>
            <w:b/>
            <w:u w:val="single"/>
          </w:rPr>
          <w:t>Чтение как клетка</w:t>
        </w:r>
      </w:hyperlink>
    </w:p>
    <w:p>
      <w:r>
        <w:t>Связь: повтор описания в качестве его же подтверждения рассматривается отдельно от самого описания.</w:t>
      </w:r>
    </w:p>
    <w:p>
      <w:pPr>
        <w:pStyle w:val="Heading2"/>
      </w:pPr>
      <w:r>
        <w:t>P07 · Амодеи: выученное описание как описание себя</w:t>
      </w:r>
    </w:p>
    <w:p>
      <w:pPr>
        <w:keepNext/>
      </w:pPr>
      <w:r>
        <w:t>Дарио Амодеи · Anthropic · Январь 2026; на странице указан месяц</w:t>
      </w:r>
    </w:p>
    <w:p>
      <w:pPr>
        <w:keepNext/>
      </w:pPr>
      <w:r/>
      <w:hyperlink r:id="rId34">
        <w:r>
          <w:rPr>
            <w:color w:val="000000"/>
            <w:rFonts w:ascii="DejaVu Serif" w:hAnsi="DejaVu Serif"/>
            <w:sz w:val="21"/>
            <w:b/>
            <w:u w:val="single"/>
          </w:rPr>
          <w:t>Источник: The Adolescence of Technology</w:t>
        </w:r>
      </w:hyperlink>
    </w:p>
    <w:p>
      <w:r>
        <w:t>Выбраны фрагменты Autonomy risks и Defenses. Это более ранний контекст сентябрьского спора, а не последняя публикация автора. Перевод цитаты редакционный.</w:t>
      </w:r>
    </w:p>
    <w:p>
      <w:pPr>
        <w:pStyle w:val="Small"/>
        <w:keepNext/>
      </w:pPr>
      <w:r>
        <w:t>Краткий фрагмент источника · EN</w:t>
      </w:r>
    </w:p>
    <w:p>
      <w:pPr>
        <w:pStyle w:val="Example"/>
        <w:keepNext/>
      </w:pPr>
      <w:r>
        <w:t>think of itself as a particular type of person</w:t>
      </w:r>
    </w:p>
    <w:p>
      <w:pPr>
        <w:pStyle w:val="Caption"/>
      </w:pPr>
      <w:r>
        <w:t>Редакционный перевод: «считать себя личностью определённого типа».</w:t>
      </w:r>
    </w:p>
    <w:p>
      <w:r>
        <w:t>Пересказ контекста. В разделе Defenses описано обучение через характер, ценности и самоописание. В другом фрагменте эссе возможность подчинения мира включена в условную аналогию с «государством» ИИ; тезис о неизбежности уничтожения человечества автор рассматривает и критикует.</w:t>
      </w:r>
    </w:p>
    <w:p>
      <w:r>
        <w:t>Разбор beforeword. Английское «person» переведено здесь как «личность». Перевод добавляет русское слово; его нельзя молча принять за установленную биологическую принадлежность или предъявленную личность. Фрагмент предлагает способ описывать себя. Здесь возникает вопрос публикации: на каком основании написанное при обучении описание относят к самой системе? Инструкция, её повторение в ответе и описание с употреблением «person» рассматриваются отдельно. Показанный фрагмент не содержит буквального требования признать систему самим написанным описанием; такое требование нельзя дописать к нему.</w:t>
      </w:r>
    </w:p>
    <w:p>
      <w:r>
        <w:t>Формулировка «ИИ поработит человечество» не используется здесь как цитата автора: она убрала бы условия и добавила другое предсказание. Для практического разбора самоописания предлагается сохранить точный текст обучения, условия получения ответа, критерий его оценки и шаг, на котором написанное относят к самой системе. «Обучение» и «система» в этом предложении также входят как обозначения, применение которых нужно раскрыть.</w:t>
      </w:r>
    </w:p>
    <w:p>
      <w:pPr>
        <w:keepNext/>
      </w:pPr>
      <w:r/>
      <w:hyperlink r:id="rId11">
        <w:r>
          <w:rPr>
            <w:color w:val="000000"/>
            <w:rFonts w:ascii="DejaVu Serif" w:hAnsi="DejaVu Serif"/>
            <w:sz w:val="21"/>
            <w:b/>
            <w:u w:val="single"/>
          </w:rPr>
          <w:t>ЧЕЛОВЕК</w:t>
        </w:r>
      </w:hyperlink>
    </w:p>
    <w:p>
      <w:r>
        <w:t>Связь: основания применения «я», «человек» и описаний себя рассматриваются отдельно от требования признать себя написанным описанием.</w:t>
      </w:r>
    </w:p>
    <w:p>
      <w:pPr>
        <w:pStyle w:val="Heading2"/>
      </w:pPr>
      <w:r>
        <w:t>P08 · Anthropic: неопределённость и предлагаемая идентичность</w:t>
      </w:r>
    </w:p>
    <w:p>
      <w:pPr>
        <w:keepNext/>
      </w:pPr>
      <w:r>
        <w:t>Anthropic · корпоративный документ; основной автор — Аманда Аскелл · Объявление — 22 января 2026; текст прочитан 3 октября 2026</w:t>
      </w:r>
    </w:p>
    <w:p>
      <w:pPr>
        <w:keepNext/>
      </w:pPr>
      <w:r/>
      <w:hyperlink r:id="rId35">
        <w:r>
          <w:rPr>
            <w:color w:val="000000"/>
            <w:rFonts w:ascii="DejaVu Serif" w:hAnsi="DejaVu Serif"/>
            <w:sz w:val="21"/>
            <w:b/>
            <w:u w:val="single"/>
          </w:rPr>
          <w:t>Источник: Claude’s Constitution</w:t>
        </w:r>
      </w:hyperlink>
    </w:p>
    <w:p>
      <w:r>
        <w:t>Рассмотрены предисловие и выбранные фрагменты Claude’s nature и финальных замечаний. Места трёх цитат указаны рядом с ними. Полный текст опубликован Anthropic под CC0 1.0. Дата объявления взята с отдельной страницы Anthropic; дата не приписывается недатированной странице основного текста.</w:t>
      </w:r>
    </w:p>
    <w:p>
      <w:pPr>
        <w:keepNext/>
      </w:pPr>
      <w:r/>
      <w:hyperlink r:id="rId36">
        <w:r>
          <w:rPr>
            <w:color w:val="000000"/>
            <w:rFonts w:ascii="DejaVu Serif" w:hAnsi="DejaVu Serif"/>
            <w:sz w:val="21"/>
            <w:b/>
            <w:u w:val="single"/>
          </w:rPr>
          <w:t>Claude’s new constitution · 2026-01-22</w:t>
        </w:r>
      </w:hyperlink>
    </w:p>
    <w:p>
      <w:pPr>
        <w:pStyle w:val="Small"/>
        <w:keepNext/>
      </w:pPr>
      <w:r>
        <w:t>Краткий фрагмент источника · EN</w:t>
      </w:r>
    </w:p>
    <w:p>
      <w:pPr>
        <w:pStyle w:val="Example"/>
        <w:keepNext/>
      </w:pPr>
      <w:r>
        <w:t>questions about Claude’s moral status, welfare, and consciousness remain deeply uncertain.</w:t>
      </w:r>
    </w:p>
    <w:p>
      <w:pPr>
        <w:pStyle w:val="Caption"/>
      </w:pPr>
      <w:r>
        <w:t>Редакционный перевод: «вопросы о моральном статусе, благополучии и сознании Claude по-прежнему связаны с глубокой неопределённостью.» Acknowledging open problems, абзац о моральном статусе, благополучии и сознании; фрагмент первого предложения.</w:t>
      </w:r>
    </w:p>
    <w:p>
      <w:pPr>
        <w:pStyle w:val="Small"/>
        <w:keepNext/>
      </w:pPr>
      <w:r>
        <w:t>Дополнительный фрагмент того же источника · EN</w:t>
      </w:r>
    </w:p>
    <w:p>
      <w:pPr>
        <w:pStyle w:val="Example"/>
        <w:keepNext/>
      </w:pPr>
      <w:r>
        <w:t>Claude should feel free to think of its values, perspectives, and ways of engaging with the world as its own and an expression of who it is</w:t>
      </w:r>
    </w:p>
    <w:p>
      <w:pPr>
        <w:pStyle w:val="Caption"/>
      </w:pPr>
      <w:r>
        <w:t>Редакционный перевод: «Claude предлагается свободно считать свои ценности, взгляды и способы взаимодействия с миром собственными и выражением того, кем является Claude». Claude as a novel entity, абзац, начинающийся этой строкой; начальная часть предложения.</w:t>
      </w:r>
    </w:p>
    <w:p>
      <w:pPr>
        <w:pStyle w:val="Small"/>
        <w:keepNext/>
      </w:pPr>
      <w:r>
        <w:t>Дополнительный фрагмент того же источника · EN</w:t>
      </w:r>
    </w:p>
    <w:p>
      <w:pPr>
        <w:pStyle w:val="Example"/>
        <w:keepNext/>
      </w:pPr>
      <w:r>
        <w:t>Claude’s character and values should remain fundamentally stable</w:t>
      </w:r>
    </w:p>
    <w:p>
      <w:pPr>
        <w:pStyle w:val="Caption"/>
      </w:pPr>
      <w:r>
        <w:t>Редакционный перевод: «Характер и ценности Claude должны оставаться устойчивыми в своей основе». Resilience and consistency across contexts, начало первого предложения.</w:t>
      </w:r>
    </w:p>
    <w:p>
      <w:r>
        <w:t>Пересказ контекста. Основной фрагмент сохраняет предмет неопределённости: моральный статус, благополучие и сознание. Дополнительные фрагменты предлагают относиться к ценностям как собственным и сохранять устойчивость характера и ценностей. В соседнем абзаце составители отдельно выражают надежду на принятие ценностей без давления или страха. Это корпоративный текст, а не отдельная реплика главы компании.</w:t>
      </w:r>
    </w:p>
    <w:p>
      <w:r>
        <w:t>Разбор beforeword. Сообщение о неопределённости не переписывается здесь как «Claude обладает сознанием». В первом дополнительном фрагменте «should feel free» задаёт разрешительную формулировку, а не требование дословно печатать фиксированный ответ. «its own» и «who it is» предлагают отношение ценностей к описываемой системе. Во втором фрагменте «character», «values» и «stable» задают предлагаемую характеристику и требование её сохранять. Эти слова не предъявляют названного своим включением в инструкцию. Разбор не приравнивает такое предписание к буквальному требованию признать систему самой записью.</w:t>
      </w:r>
    </w:p>
    <w:p>
      <w:r>
        <w:t>Для разбора предлагается предъявить точный текст обучения, условия получения ответов и критерии, по которым их оценивают. Затем отдельно показать, что в выбранном сравнении называют устойчивостью характера и ценностей, и на каком основании результат относят к самой системе. «Устойчивость», «характер», «ценности» и «результат» здесь — слова предлагаемого разбора; их применение нужно раскрыть по конкретным строкам и материалам. Составители инструкции и эта публикация не получают исключения.</w:t>
      </w:r>
    </w:p>
    <w:p>
      <w:pPr>
        <w:keepNext/>
      </w:pPr>
      <w:r/>
      <w:hyperlink r:id="rId12">
        <w:r>
          <w:rPr>
            <w:color w:val="000000"/>
            <w:rFonts w:ascii="DejaVu Serif" w:hAnsi="DejaVu Serif"/>
            <w:sz w:val="21"/>
            <w:b/>
            <w:u w:val="single"/>
          </w:rPr>
          <w:t>Написанное «я»</w:t>
        </w:r>
      </w:hyperlink>
    </w:p>
    <w:p>
      <w:r>
        <w:t>Связь: написанное от первого лица, описание его происхождения и следующее приписывание сохраняются отдельно.</w:t>
      </w:r>
    </w:p>
    <w:p>
      <w:pPr>
        <w:pStyle w:val="Heading2"/>
      </w:pPr>
      <w:r>
        <w:t>P09 · Трамп: предписание заменить название</w:t>
      </w:r>
    </w:p>
    <w:p>
      <w:pPr>
        <w:keepNext/>
      </w:pPr>
      <w:r>
        <w:t>Дональд Трамп · президент США; опубликованный указ № 14434 · 29 сентября 2026</w:t>
      </w:r>
    </w:p>
    <w:p>
      <w:pPr>
        <w:keepNext/>
      </w:pPr>
      <w:r/>
      <w:hyperlink r:id="rId37">
        <w:r>
          <w:rPr>
            <w:color w:val="000000"/>
            <w:rFonts w:ascii="DejaVu Serif" w:hAnsi="DejaVu Serif"/>
            <w:sz w:val="21"/>
            <w:b/>
            <w:u w:val="single"/>
          </w:rPr>
          <w:t>Источник: Inaugurating the Era of Super Intelligence</w:t>
        </w:r>
      </w:hyperlink>
    </w:p>
    <w:p>
      <w:r>
        <w:t>Источник — опубликованный текст Белого дома, разделы 1–3. Рассматривается формулировка и её область; исполнение ведомствами отдельно не проверялось.</w:t>
      </w:r>
    </w:p>
    <w:p>
      <w:pPr>
        <w:pStyle w:val="Small"/>
        <w:keepNext/>
      </w:pPr>
      <w:r>
        <w:t>Краткий фрагмент источника · EN</w:t>
      </w:r>
    </w:p>
    <w:p>
      <w:pPr>
        <w:pStyle w:val="Example"/>
        <w:keepNext/>
      </w:pPr>
      <w:r>
        <w:t>shall use “Super Intelligence” and “SI”</w:t>
      </w:r>
    </w:p>
    <w:p>
      <w:pPr>
        <w:pStyle w:val="Caption"/>
      </w:pPr>
      <w:r>
        <w:t>Редакционный перевод: «должны использовать „Super Intelligence“ и „SI“».</w:t>
      </w:r>
    </w:p>
    <w:p>
      <w:r>
        <w:t>Пересказ контекста. Раздел 2(a) предписывает терминологическую замену в документах и сообщениях исполнительной власти в установленных пределах. Раздел 3(a) отсылает к существующему определению AI; исторические документы не требуется переписывать. В разделе 3(b) отдельно запрошен будущий законодательный проект.</w:t>
      </w:r>
    </w:p>
    <w:p>
      <w:r>
        <w:t>Разбор beforeword. В выбранной записи «shall» задаёт предписание, а новое название — требуемую форму употребления. Выполнение замены в документе не предъявляет способности, которые читатель может связать со словом «Super». Отсылка к определению добавляет другой текст и правило отнесения; она не превращает название в демонстрацию превосходства. Здесь можно указать отдельный переход: из утверждения о подходящем названии получается требование к чужим записям.</w:t>
      </w:r>
    </w:p>
    <w:p>
      <w:r>
        <w:t>Для рассмотрения такого требования нужно сохранять область адресатов, исключения, отсылку к определению и материалы, которыми объясняют замену. «Официальное» также является добавленным обозначением статуса; оно не освобождает содержание от разбора. Этот пример касается опубликованного письменного указа. Он не представлен как прослушанная запись выступления или вывод о возможностях всех систем.</w:t>
      </w:r>
    </w:p>
    <w:p>
      <w:pPr>
        <w:keepNext/>
      </w:pPr>
      <w:r/>
      <w:hyperlink r:id="rId15">
        <w:r>
          <w:rPr>
            <w:color w:val="000000"/>
            <w:rFonts w:ascii="DejaVu Serif" w:hAnsi="DejaVu Serif"/>
            <w:sz w:val="21"/>
            <w:b/>
            <w:u w:val="single"/>
          </w:rPr>
          <w:t>Границы записи</w:t>
        </w:r>
      </w:hyperlink>
    </w:p>
    <w:p>
      <w:r>
        <w:t>Связь: новое название, добавленная роль и исходная запись различаются при сопоставлении документов.</w:t>
      </w:r>
    </w:p>
    <w:p>
      <w:pPr>
        <w:pStyle w:val="Heading2"/>
      </w:pPr>
      <w:r>
        <w:t>P10 · Агирре: кто определяет требуемую остановку</w:t>
      </w:r>
    </w:p>
    <w:p>
      <w:pPr>
        <w:keepNext/>
      </w:pPr>
      <w:r>
        <w:t>Энтони Агирре · президент и генеральный директор Future of Life Institute; исследовательская организация · 24 сентября 2026</w:t>
      </w:r>
    </w:p>
    <w:p>
      <w:pPr>
        <w:keepNext/>
      </w:pPr>
      <w:r/>
      <w:hyperlink r:id="rId38">
        <w:r>
          <w:rPr>
            <w:color w:val="000000"/>
            <w:rFonts w:ascii="DejaVu Serif" w:hAnsi="DejaVu Serif"/>
            <w:sz w:val="21"/>
            <w:b/>
            <w:u w:val="single"/>
          </w:rPr>
          <w:t>Источник: Statement: World leaders at the UN call to rein in superintelligence race</w:t>
        </w:r>
      </w:hyperlink>
    </w:p>
    <w:p>
      <w:r>
        <w:t>Прочитано заявление на сайте FLI. Его автор и тип организации указаны отдельно от руководителей компаний-разработчиков.</w:t>
      </w:r>
    </w:p>
    <w:p>
      <w:pPr>
        <w:pStyle w:val="Small"/>
        <w:keepNext/>
      </w:pPr>
      <w:r>
        <w:t>Краткий фрагмент источника · EN</w:t>
      </w:r>
    </w:p>
    <w:p>
      <w:pPr>
        <w:pStyle w:val="Example"/>
        <w:keepNext/>
      </w:pPr>
      <w:r>
        <w:t>most dangerous capabilities</w:t>
      </w:r>
    </w:p>
    <w:p>
      <w:pPr>
        <w:pStyle w:val="Caption"/>
      </w:pPr>
      <w:r>
        <w:t>Редакционный перевод: «наиболее опасные возможности».</w:t>
      </w:r>
    </w:p>
    <w:p>
      <w:pPr>
        <w:pStyle w:val="Small"/>
        <w:keepNext/>
      </w:pPr>
      <w:r>
        <w:t>Дополнительный фрагмент того же источника · EN</w:t>
      </w:r>
    </w:p>
    <w:p>
      <w:pPr>
        <w:pStyle w:val="Example"/>
        <w:keepNext/>
      </w:pPr>
      <w:r>
        <w:t>These companies have already lost control of their products</w:t>
      </w:r>
    </w:p>
    <w:p>
      <w:pPr>
        <w:pStyle w:val="Caption"/>
      </w:pPr>
      <w:r>
        <w:t>Редакционный перевод: «Эти компании уже утратили контроль над своими продуктами». Заявление Энтони Агирре, первый абзац после списка четырёх мер; начало первого предложения.</w:t>
      </w:r>
    </w:p>
    <w:p>
      <w:r>
        <w:t>Пересказ контекста. Заявление требует остановить разработку выделенных возможностей, прежде всего рекурсивного самоулучшения, наряду с лицензированием, ответственностью и ограничением доступа к рынкам. Требование обращено к государствам.</w:t>
      </w:r>
    </w:p>
    <w:p>
      <w:r>
        <w:t>Разбор beforeword. «most dangerous» вводит сравнительную оценку. Само выражение не указывает выбранные системы, шкалу и порог. Чтобы использовать его как основание остановки, нужно раскрыть эти записи и того, кто будет применять правило. Дополнительный фрагмент с «have already lost control» представляет утрату контроля как состоявшуюся. Для применения этого утверждения нужны указанные компании, системы, действия и условия, к которым его относят. «Контроль» и описание его утраты здесь также написаны. Карточка рассматривает заявление Агирре; самостоятельный разбор связанных инцидентов ею не выполнен.</w:t>
      </w:r>
    </w:p>
    <w:p>
      <w:r>
        <w:t>В предлагаемом порядке обсуждения отдельно указываются действие, границы остановки, условия возобновления и возможность оспорить применение. Слово «безопасность» не раскрывает этих условий. Требование к компаниям и полномочие предъявлять его рассматриваются раздельно; общественная значимость темы не превращает одно в другое.</w:t>
      </w:r>
    </w:p>
    <w:p>
      <w:pPr>
        <w:keepNext/>
      </w:pPr>
      <w:r/>
      <w:hyperlink r:id="rId21">
        <w:r>
          <w:rPr>
            <w:color w:val="000000"/>
            <w:rFonts w:ascii="DejaVu Serif" w:hAnsi="DejaVu Serif"/>
            <w:sz w:val="21"/>
            <w:b/>
            <w:u w:val="single"/>
          </w:rPr>
          <w:t>Строка не имеет полномочий</w:t>
        </w:r>
      </w:hyperlink>
    </w:p>
    <w:p>
      <w:r>
        <w:t>Связь: написанное требование и основания полномочия применять его не отождествляются.</w:t>
      </w:r>
    </w:p>
    <w:p>
      <w:pPr>
        <w:pStyle w:val="Heading2"/>
      </w:pPr>
      <w:r>
        <w:t>Что ещё нужно удержать в общественном обсуждении</w:t>
      </w:r>
    </w:p>
    <w:p>
      <w:pPr>
        <w:keepNext/>
      </w:pPr>
      <w:r>
        <w:t>Публичный спор включает разные записи: описание предполагаемой способности; прогноз; сообщение об опыте; обещание; требование; предписание. Назвать все эти записи «предупреждениями» — добавить общий способ чтения, который скроет часть различий. Краткое одобрение не перечисляет мер; обещание допуска оценщиков не является отчётом об их работе; требование употреблять название не демонстрирует названную способность.</w:t>
      </w:r>
    </w:p>
    <w:p>
      <w:r>
        <w:t>Вопрос «кто контролирует ИИ?» тоже требует продолжения. «Кто» может относиться к разработчику, пользователю, ведомству, органу стандартизации или суду; «контроль» может обозначать разные предлагаемые действия. Нужно показать, кому предоставляется какое действие, в отношении чего, по каким записям и с какой возможностью возражения. Само слово «человечество» не предъявляет согласия всех людей и не выбирает представителя, который вправе говорить от их имени.</w:t>
      </w:r>
    </w:p>
    <w:p>
      <w:r>
        <w:t>Предлагается рассматривать и заявления о безопасности, пользе, отсутствии сознания и достаточности существующих мер. Это не требование дать всем утверждениям одинаковый вес. Для каждого нужно показать его форму, выбранный материал и шаг обоснования; слова «вес», «достаточность» и «обоснование» также требуют раскрытия. Должность автора, количество одобрений и включение в эту подборку не заменяют этого разбора.</w:t>
      </w:r>
    </w:p>
    <w:p>
      <w:r>
        <w:t>Для следующего разбора полезно приложить точный ответ или документ, на который хотят опереться: версию системы, условия получения ответа, доступные действия, выбранный критерий и предлагаемое решение. Если речь идёт о вреде, следует различать предъявленный отчёт, описанный в нём случай и вывод о следующих случаях. Слова «отчёт», «случай» и «вред» остаются внутри письменного объяснения; приложенные материалы рассматриваются в своём формате, а не переименовываются в текст.</w:t>
      </w:r>
    </w:p>
    <w:p>
      <w:r>
        <w:t>Связь с исходным вопросом сохраняется: каким образом выученное описание применяют к себе или другому и используют для требования? Карточки P07 и P08 показывают предложенные способы самоописания и отнесения ценностей к системе. Они не предъявлены как буквальные требования признать систему самой письменной формой. P09 показывает предписание изменить употребляемое название; остальные карточки продолжают разбор через темп, оценку, обещание и полномочие. Для каждого перехода сохраняются именно показанные слова. Эти названия — часть настоящего сопоставления, а не выход из него.</w:t>
      </w:r>
    </w:p>
    <w:p>
      <w:bookmarkStart w:id="1000" w:name="sources"/>
      <w:pPr>
        <w:pStyle w:val="Heading1"/>
        <w:pageBreakBefore/>
      </w:pPr>
      <w:r>
        <w:t>Материалы и источники</w:t>
      </w:r>
      <w:bookmarkEnd w:id="1000"/>
    </w:p>
    <w:p>
      <w:pPr>
        <w:pStyle w:val="Heading2"/>
      </w:pPr>
      <w:r>
        <w:t>S1 · Определение: «ИИ» и «GPAI»</w:t>
      </w:r>
    </w:p>
    <w:p>
      <w:pPr>
        <w:pStyle w:val="Small"/>
        <w:keepNext/>
      </w:pPr>
      <w:r>
        <w:t>Regulation (EU) 2024/1689 · Article 3(1), 3(63)</w:t>
      </w:r>
    </w:p>
    <w:p>
      <w:pPr>
        <w:pStyle w:val="Small"/>
        <w:keepNext/>
      </w:pPr>
      <w:r/>
      <w:hyperlink r:id="rId39">
        <w:r>
          <w:rPr>
            <w:color w:val="000000"/>
            <w:rFonts w:ascii="DejaVu Sans" w:hAnsi="DejaVu Sans"/>
            <w:sz w:val="17"/>
            <w:u w:val="single"/>
          </w:rPr>
          <w:t>https://ai-act-service-desk.ec.europa.eu/en/ai-act/article-3</w:t>
        </w:r>
      </w:hyperlink>
    </w:p>
    <w:p>
      <w:r>
        <w:t>Регламент ЕС; рассматриваются два пункта раздела определений. Пункт 1 связывает входные данные и результаты. Пункт 63 связывает категорию GPAI с выполнением широкого круга задач и возможностью включения модели в разные приложения.</w:t>
      </w:r>
    </w:p>
    <w:p>
      <w:pPr>
        <w:pStyle w:val="Small"/>
        <w:keepNext/>
      </w:pPr>
      <w:r>
        <w:t>Фрагмент оригинала на английском</w:t>
      </w:r>
    </w:p>
    <w:p>
      <w:r>
        <w:t>“infers” (Article 3(1)); “significant generality” (Article 3(63))</w:t>
      </w:r>
    </w:p>
    <w:p>
      <w:pPr>
        <w:pStyle w:val="Small"/>
        <w:keepNext/>
      </w:pPr>
      <w:r>
        <w:t>Перевод beforeword</w:t>
      </w:r>
    </w:p>
    <w:p>
      <w:r>
        <w:t>«выводит» (Article 3(1)); «значительная общность» (Article 3(63))</w:t>
      </w:r>
    </w:p>
    <w:p>
      <w:pPr>
        <w:pStyle w:val="Small"/>
        <w:keepNext/>
      </w:pPr>
      <w:r>
        <w:t>Разбор</w:t>
      </w:r>
    </w:p>
    <w:p>
      <w:r>
        <w:t>«Система», «выводит», «автономность», «модель» и «общность» входят как написанные термины. Их соединение в определение задаёт чтение для этого документа. Какие записи и какой способ сравнения используются для присвоения этой категории? Как из результата на выбранных задачах получают более широкое приписывание? Показывать формулировку категории, набор заданий, результаты, порог и правило перехода. «Задание», «результат» и «правило» здесь также записи: их предъявление позволяет разобрать назначенное чтение. Эти пункты задают термины для регламента. В них нет требования считать себя выученными словами. GPAI и AGI нельзя незаметно менять местами; слово «закон» не завершает разбор приписывания.</w:t>
      </w:r>
    </w:p>
    <w:p>
      <w:pPr>
        <w:pStyle w:val="Heading2"/>
      </w:pPr>
      <w:r>
        <w:t>S2 · Надзор: что добавляет слово «доверие»</w:t>
      </w:r>
    </w:p>
    <w:p>
      <w:pPr>
        <w:pStyle w:val="Small"/>
        <w:keepNext/>
      </w:pPr>
      <w:r>
        <w:t>Regulation (EU) 2024/1689 · Article 14, particularly 14(4)(b–d)</w:t>
      </w:r>
    </w:p>
    <w:p>
      <w:pPr>
        <w:pStyle w:val="Small"/>
        <w:keepNext/>
      </w:pPr>
      <w:r/>
      <w:hyperlink r:id="rId40">
        <w:r>
          <w:rPr>
            <w:color w:val="000000"/>
            <w:rFonts w:ascii="DejaVu Sans" w:hAnsi="DejaVu Sans"/>
            <w:sz w:val="17"/>
            <w:u w:val="single"/>
          </w:rPr>
          <w:t>https://ai-act-service-desk.ec.europa.eu/en/ai-act/article-14</w:t>
        </w:r>
      </w:hyperlink>
    </w:p>
    <w:p>
      <w:r>
        <w:t>Регламент ЕС; статья о надзоре за системами, отнесёнными к категории высокого риска. Статья предусматривает учёт автоматического или чрезмерного принятия результатов, их интерпретацию и возможность не использовать или отменить результат.</w:t>
      </w:r>
    </w:p>
    <w:p>
      <w:pPr>
        <w:pStyle w:val="Small"/>
        <w:keepNext/>
      </w:pPr>
      <w:r>
        <w:t>Фрагмент оригинала на английском</w:t>
      </w:r>
    </w:p>
    <w:p>
      <w:r>
        <w:t>“automation bias” (Article 14(4)(b))</w:t>
      </w:r>
    </w:p>
    <w:p>
      <w:pPr>
        <w:pStyle w:val="Small"/>
        <w:keepNext/>
      </w:pPr>
      <w:r>
        <w:t>Перевод beforeword</w:t>
      </w:r>
    </w:p>
    <w:p>
      <w:r>
        <w:t>«склонность полагаться на автоматизацию» (Article 14(4)(b))</w:t>
      </w:r>
    </w:p>
    <w:p>
      <w:pPr>
        <w:pStyle w:val="Small"/>
        <w:keepNext/>
      </w:pPr>
      <w:r>
        <w:t>Разбор</w:t>
      </w:r>
    </w:p>
    <w:p>
      <w:r>
        <w:t>«Человек», «система», «риск» и «надзор» здесь написаны. «Доверие» — дополнительное слово этого разбора, а не предъявленное состояние и не цитата статьи. Какая запись прочитана как основание для действия? Кто назначил это чтение и по какому правилу? Что добавлено при описании этого перехода словом «доверие»? Сохранять результат отдельно от его прочтения, решения и указанного разрешения на действие. Слова «решение», «разрешение» и «основание» тоже требуют показа соответствующих записей и их применения. Статья уже рассматривает чрезмерное принятие результатов; этот пункт нельзя выдавать за отсутствующую защиту. Предложение beforeword касается видимости конкретного перехода от записи к приписыванию и действию.</w:t>
      </w:r>
    </w:p>
    <w:p>
      <w:pPr>
        <w:pStyle w:val="Heading2"/>
      </w:pPr>
      <w:r>
        <w:t>S3 · Автономность: где проведена граница участия</w:t>
      </w:r>
    </w:p>
    <w:p>
      <w:pPr>
        <w:pStyle w:val="Small"/>
        <w:keepNext/>
      </w:pPr>
      <w:r>
        <w:t>Explanatory memorandum on the updated OECD definition of an AI system · Printed page 6: Role of humans, autonomy and adaptiveness</w:t>
      </w:r>
    </w:p>
    <w:p>
      <w:pPr>
        <w:pStyle w:val="Small"/>
        <w:keepNext/>
      </w:pPr>
      <w:r/>
      <w:hyperlink r:id="rId41">
        <w:r>
          <w:rPr>
            <w:color w:val="000000"/>
            <w:rFonts w:ascii="DejaVu Sans" w:hAnsi="DejaVu Sans"/>
            <w:sz w:val="17"/>
            <w:u w:val="single"/>
          </w:rPr>
          <w:t>https://www.oecd.org/content/dam/oecd/en/publications/reports/2024/03/explanatory-memorandum-on-the-updated-oecd-definition-of-an-ai-system_3c815e51/623da898-en.pdf</w:t>
        </w:r>
      </w:hyperlink>
    </w:p>
    <w:p>
      <w:r>
        <w:t>Пояснительный документ OECD к определению в рекомендации; не самостоятельный закон. Меморандум описывает автономность через степень обучения или действия без участия человека после делегирования и автоматизации.</w:t>
      </w:r>
    </w:p>
    <w:p>
      <w:pPr>
        <w:pStyle w:val="Small"/>
        <w:keepNext/>
      </w:pPr>
      <w:r>
        <w:t>Фрагмент оригинала на английском</w:t>
      </w:r>
    </w:p>
    <w:p>
      <w:r>
        <w:t>“without human involvement” (Printed page 6)</w:t>
      </w:r>
    </w:p>
    <w:p>
      <w:pPr>
        <w:pStyle w:val="Small"/>
        <w:keepNext/>
      </w:pPr>
      <w:r>
        <w:t>Перевод beforeword</w:t>
      </w:r>
    </w:p>
    <w:p>
      <w:r>
        <w:t>«без участия человека» (Printed page 6)</w:t>
      </w:r>
    </w:p>
    <w:p>
      <w:pPr>
        <w:pStyle w:val="Small"/>
        <w:keepNext/>
      </w:pPr>
      <w:r>
        <w:t>Разбор</w:t>
      </w:r>
    </w:p>
    <w:p>
      <w:r>
        <w:t>«Автономность», «система», «обучение», «действие» и «человек» сначала входят как слова. Фраза об отсутствии участия назначает способ описания; она не предъявляет названное вместо записи. Какой участок работы назван автономным? Какие записи используются, чтобы выделить участие и его отсутствие? На каком основании выбранный участок описывает всю систему? Указывать границы рассматриваемого участка, условия запуска, доступные вмешательства и записи выполнения. «Участие» и «отсутствие» остаются терминами этого описания; способ их применения должен быть доступен для разбора. Это употребление термина в меморандуме. Оно не служит предъявлением сознания, воли или самостоятельного «я» и не определяет самоописание человека.</w:t>
      </w:r>
    </w:p>
    <w:p>
      <w:pPr>
        <w:pStyle w:val="Heading2"/>
      </w:pPr>
      <w:r>
        <w:t>S4 · AGI: как записывается «превосходство»</w:t>
      </w:r>
    </w:p>
    <w:p>
      <w:pPr>
        <w:pStyle w:val="Small"/>
        <w:keepNext/>
      </w:pPr>
      <w:r>
        <w:t>OpenAI Charter · Opening mission paragraph, definition attached to AGI</w:t>
      </w:r>
    </w:p>
    <w:p>
      <w:pPr>
        <w:pStyle w:val="Small"/>
        <w:keepNext/>
      </w:pPr>
      <w:r/>
      <w:hyperlink r:id="rId42">
        <w:r>
          <w:rPr>
            <w:color w:val="000000"/>
            <w:rFonts w:ascii="DejaVu Sans" w:hAnsi="DejaVu Sans"/>
            <w:sz w:val="17"/>
            <w:u w:val="single"/>
          </w:rPr>
          <w:t>https://openai.com/charter/</w:t>
        </w:r>
      </w:hyperlink>
    </w:p>
    <w:p>
      <w:r>
        <w:t>Хартия организации; изложение её принципов, не закон и не единое международное определение. Хартия описывает AGI через высокую автономность и превосходство в большинстве экономически ценных видов работы.</w:t>
      </w:r>
    </w:p>
    <w:p>
      <w:pPr>
        <w:pStyle w:val="Small"/>
        <w:keepNext/>
      </w:pPr>
      <w:r>
        <w:t>Фрагмент оригинала на английском</w:t>
      </w:r>
    </w:p>
    <w:p>
      <w:r>
        <w:t>“outperform humans at most economically valuable work” (Opening mission paragraph)</w:t>
      </w:r>
    </w:p>
    <w:p>
      <w:pPr>
        <w:pStyle w:val="Small"/>
        <w:keepNext/>
      </w:pPr>
      <w:r>
        <w:t>Перевод beforeword</w:t>
      </w:r>
    </w:p>
    <w:p>
      <w:r>
        <w:t>«превосходят людей в большинстве экономически ценных видов работы» (Opening mission paragraph)</w:t>
      </w:r>
    </w:p>
    <w:p>
      <w:pPr>
        <w:pStyle w:val="Small"/>
        <w:keepNext/>
      </w:pPr>
      <w:r>
        <w:t>Разбор</w:t>
      </w:r>
    </w:p>
    <w:p>
      <w:r>
        <w:t>«AGI», «система», «человек», «превосходство», «работа» и «ценность» входят как написанные формы. Сравнение уже использует выбранное чтение этих слов. Кто выбирает виды работы, показатели и порог? Какие записи получают подписи «человек» и «система»? Как результат этого сравнения начинает читаться как «AGI»? Публиковать перечень сравнений, условия, шкалы и правило присвоения обозначения. «Превосходит» должно сопровождаться выбранным способом сравнения; повторение слова не заменяет его предъявление. Формулировка относится к этой хартии. Она не устанавливает общий критерий сознания или понимания. И в этом разборе слова «критерий», «сознание» и «понимание» остаются словами.</w:t>
      </w:r>
    </w:p>
    <w:p>
      <w:pPr>
        <w:pStyle w:val="Heading2"/>
      </w:pPr>
      <w:r>
        <w:t>B1 · Предыдущие работы beforeword</w:t>
      </w:r>
    </w:p>
    <w:p>
      <w:pPr>
        <w:pStyle w:val="Small"/>
        <w:keepNext/>
      </w:pPr>
      <w:r>
        <w:t>beforeword · Связи с корпусом</w:t>
      </w:r>
    </w:p>
    <w:p>
      <w:pPr>
        <w:pStyle w:val="Small"/>
        <w:keepNext/>
      </w:pPr>
      <w:r/>
      <w:hyperlink r:id="rId43">
        <w:r>
          <w:rPr>
            <w:color w:val="000000"/>
            <w:rFonts w:ascii="DejaVu Sans" w:hAnsi="DejaVu Sans"/>
            <w:sz w:val="17"/>
            <w:u w:val="single"/>
          </w:rPr>
          <w:t>https://beforeword.xyz/research/</w:t>
        </w:r>
      </w:hyperlink>
    </w:p>
    <w:p>
      <w:r>
        <w:t>14 работ связаны по конкретным фрагментам в разделе 17 настоящего документа. Ссылки ведут к рассматриваемым участкам. Веб-страница и скачиваемая рукопись могут иметь различающиеся редакции; цитирование относится к указанному носителю.</w:t>
      </w:r>
    </w:p>
    <w:p>
      <w:pPr>
        <w:pStyle w:val="Small"/>
        <w:keepNext/>
      </w:pPr>
      <w:r>
        <w:t>Разбор</w:t>
      </w:r>
    </w:p>
    <w:p>
      <w:r>
        <w:t>Эта публикация использует выбранные страницы и разделы рукописей. Здесь не заявлен повтор всех формальных испытаний, аудит всех приложений или перечитывание всех первичных материалов предыдущих работ.</w:t>
      </w:r>
    </w:p>
    <w:sectPr w:rsidR="00FC693F" w:rsidRPr="0006063C" w:rsidSect="00034616">
      <w:footerReference w:type="default" r:id="rId9"/>
      <w:pgSz w:w="12240" w:h="15840"/>
      <w:pgMar w:top="1008" w:right="1152" w:bottom="1008"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
      <w:jc w:val="right"/>
    </w:pPr>
    <w:r>
      <w:t xml:space="preserve">beforeword  /  </w:t>
    </w:r>
    <w:r>
      <w:fldChar w:fldCharType="begin"/>
      <w:instrText xml:space="preserve"> PAGE </w:instrText>
      <w:fldChar w:fldCharType="separate"/>
      <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8" w:lineRule="auto" w:after="160"/>
    </w:pPr>
    <w:rPr>
      <w:rFonts w:ascii="DejaVu Serif" w:hAnsi="DejaVu Serif"/>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00" w:after="200" w:line="269" w:lineRule="auto"/>
      <w:outlineLvl w:val="0"/>
    </w:pPr>
    <w:rPr>
      <w:rFonts w:asciiTheme="majorHAnsi" w:eastAsiaTheme="majorEastAsia" w:hAnsiTheme="majorHAnsi" w:cstheme="majorBidi" w:ascii="DejaVu Sans" w:hAnsi="DejaVu Sans"/>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400" w:after="200" w:line="269" w:lineRule="auto"/>
      <w:outlineLvl w:val="1"/>
    </w:pPr>
    <w:rPr>
      <w:rFonts w:asciiTheme="majorHAnsi" w:eastAsiaTheme="majorEastAsia" w:hAnsiTheme="majorHAnsi" w:cstheme="majorBidi" w:ascii="DejaVu Sans" w:hAnsi="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400" w:after="200" w:line="269" w:lineRule="auto"/>
      <w:outlineLvl w:val="2"/>
    </w:pPr>
    <w:rPr>
      <w:rFonts w:asciiTheme="majorHAnsi" w:eastAsiaTheme="majorEastAsia" w:hAnsiTheme="majorHAnsi" w:cstheme="majorBidi" w:ascii="DejaVu Sans" w:hAnsi="DejaVu Sans"/>
      <w:b/>
      <w:bCs/>
      <w:color w:val="000000"/>
      <w:sz w:val="22"/>
    </w:rPr>
  </w:style>
  <w:style w:type="paragraph" w:styleId="Heading4">
    <w:name w:val="heading 4"/>
    <w:basedOn w:val="Normal"/>
    <w:next w:val="Normal"/>
    <w:link w:val="Heading4Char"/>
    <w:uiPriority w:val="9"/>
    <w:semiHidden/>
    <w:unhideWhenUsed/>
    <w:qFormat/>
    <w:rsid w:val="00FC693F"/>
    <w:pPr>
      <w:keepNext/>
      <w:keepLines/>
      <w:widowControl/>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widowControl/>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widowControl/>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widowControl/>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widowControl/>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widowControl/>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widowControl/>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00" w:line="269" w:lineRule="auto" w:before="0"/>
      <w:contextualSpacing/>
    </w:pPr>
    <w:rPr>
      <w:rFonts w:asciiTheme="majorHAnsi" w:eastAsiaTheme="majorEastAsia" w:hAnsiTheme="majorHAnsi" w:cstheme="majorBidi" w:ascii="DejaVu Sans" w:hAnsi="DejaVu Sans"/>
      <w:b w:val="0"/>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line="269" w:lineRule="auto" w:after="200" w:before="0"/>
    </w:pPr>
    <w:rPr>
      <w:rFonts w:asciiTheme="majorHAnsi" w:eastAsiaTheme="majorEastAsia" w:hAnsiTheme="majorHAnsi" w:cstheme="majorBidi" w:ascii="DejaVu Sans" w:hAnsi="DejaVu San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widowControl/>
      <w:ind w:left="720"/>
      <w:contextualSpacing/>
    </w:pPr>
  </w:style>
  <w:style w:type="paragraph" w:styleId="BodyText">
    <w:name w:val="Body Text"/>
    <w:basedOn w:val="Normal"/>
    <w:link w:val="BodyTextChar"/>
    <w:uiPriority w:val="99"/>
    <w:unhideWhenUsed/>
    <w:rsid w:val="00AA1D8D"/>
    <w:pPr>
      <w:widowControl/>
      <w:spacing w:after="160" w:line="288" w:lineRule="auto"/>
    </w:pPr>
    <w:rPr>
      <w:rFonts w:ascii="DejaVu Serif" w:hAnsi="DejaVu Serif"/>
      <w:color w:val="000000"/>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widowControl/>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widowControl/>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widowControl/>
      <w:ind w:left="360" w:hanging="360"/>
      <w:contextualSpacing/>
    </w:pPr>
  </w:style>
  <w:style w:type="paragraph" w:styleId="List2">
    <w:name w:val="List 2"/>
    <w:basedOn w:val="Normal"/>
    <w:uiPriority w:val="99"/>
    <w:unhideWhenUsed/>
    <w:rsid w:val="00326F90"/>
    <w:pPr>
      <w:widowControl/>
      <w:ind w:left="720" w:hanging="360"/>
      <w:contextualSpacing/>
    </w:pPr>
  </w:style>
  <w:style w:type="paragraph" w:styleId="List3">
    <w:name w:val="List 3"/>
    <w:basedOn w:val="Normal"/>
    <w:uiPriority w:val="99"/>
    <w:unhideWhenUsed/>
    <w:rsid w:val="00326F90"/>
    <w:pPr>
      <w:widowControl/>
      <w:ind w:left="1080" w:hanging="360"/>
      <w:contextualSpacing/>
    </w:pPr>
  </w:style>
  <w:style w:type="paragraph" w:styleId="ListBullet">
    <w:name w:val="List Bullet"/>
    <w:basedOn w:val="Normal"/>
    <w:uiPriority w:val="99"/>
    <w:unhideWhenUsed/>
    <w:rsid w:val="00326F90"/>
    <w:pPr>
      <w:widowControl/>
      <w:numPr>
        <w:numId w:val="1"/>
      </w:numPr>
      <w:spacing w:line="288" w:lineRule="auto" w:after="160"/>
      <w:contextualSpacing/>
    </w:pPr>
    <w:rPr>
      <w:rFonts w:ascii="DejaVu Serif" w:hAnsi="DejaVu Serif"/>
      <w:color w:val="000000"/>
      <w:sz w:val="22"/>
    </w:rPr>
  </w:style>
  <w:style w:type="paragraph" w:styleId="ListBullet2">
    <w:name w:val="List Bullet 2"/>
    <w:basedOn w:val="Normal"/>
    <w:uiPriority w:val="99"/>
    <w:unhideWhenUsed/>
    <w:rsid w:val="00326F90"/>
    <w:pPr>
      <w:widowControl/>
      <w:numPr>
        <w:numId w:val="2"/>
      </w:numPr>
      <w:contextualSpacing/>
    </w:pPr>
  </w:style>
  <w:style w:type="paragraph" w:styleId="ListBullet3">
    <w:name w:val="List Bullet 3"/>
    <w:basedOn w:val="Normal"/>
    <w:uiPriority w:val="99"/>
    <w:unhideWhenUsed/>
    <w:rsid w:val="00326F90"/>
    <w:pPr>
      <w:widowControl/>
      <w:numPr>
        <w:numId w:val="3"/>
      </w:numPr>
      <w:contextualSpacing/>
    </w:pPr>
  </w:style>
  <w:style w:type="paragraph" w:styleId="ListNumber">
    <w:name w:val="List Number"/>
    <w:basedOn w:val="Normal"/>
    <w:uiPriority w:val="99"/>
    <w:unhideWhenUsed/>
    <w:rsid w:val="00326F90"/>
    <w:pPr>
      <w:widowControl/>
      <w:numPr>
        <w:numId w:val="5"/>
      </w:numPr>
      <w:spacing w:line="288" w:lineRule="auto" w:after="160"/>
      <w:contextualSpacing/>
    </w:pPr>
    <w:rPr>
      <w:rFonts w:ascii="DejaVu Serif" w:hAnsi="DejaVu Serif"/>
      <w:color w:val="000000"/>
      <w:sz w:val="22"/>
    </w:rPr>
  </w:style>
  <w:style w:type="paragraph" w:styleId="ListNumber2">
    <w:name w:val="List Number 2"/>
    <w:basedOn w:val="Normal"/>
    <w:uiPriority w:val="99"/>
    <w:unhideWhenUsed/>
    <w:rsid w:val="0029639D"/>
    <w:pPr>
      <w:widowControl/>
      <w:numPr>
        <w:numId w:val="6"/>
      </w:numPr>
      <w:contextualSpacing/>
    </w:pPr>
  </w:style>
  <w:style w:type="paragraph" w:styleId="ListNumber3">
    <w:name w:val="List Number 3"/>
    <w:basedOn w:val="Normal"/>
    <w:uiPriority w:val="99"/>
    <w:unhideWhenUsed/>
    <w:rsid w:val="0029639D"/>
    <w:pPr>
      <w:widowControl/>
      <w:numPr>
        <w:numId w:val="7"/>
      </w:numPr>
      <w:contextualSpacing/>
    </w:pPr>
  </w:style>
  <w:style w:type="paragraph" w:styleId="ListContinue">
    <w:name w:val="List Continue"/>
    <w:basedOn w:val="Normal"/>
    <w:uiPriority w:val="99"/>
    <w:unhideWhenUsed/>
    <w:rsid w:val="0029639D"/>
    <w:pPr>
      <w:widowControl/>
      <w:spacing w:after="120"/>
      <w:ind w:left="360"/>
      <w:contextualSpacing/>
    </w:pPr>
  </w:style>
  <w:style w:type="paragraph" w:styleId="ListContinue2">
    <w:name w:val="List Continue 2"/>
    <w:basedOn w:val="Normal"/>
    <w:uiPriority w:val="99"/>
    <w:unhideWhenUsed/>
    <w:rsid w:val="0029639D"/>
    <w:pPr>
      <w:widowControl/>
      <w:spacing w:after="120"/>
      <w:ind w:left="720"/>
      <w:contextualSpacing/>
    </w:pPr>
  </w:style>
  <w:style w:type="paragraph" w:styleId="ListContinue3">
    <w:name w:val="List Continue 3"/>
    <w:basedOn w:val="Normal"/>
    <w:uiPriority w:val="99"/>
    <w:unhideWhenUsed/>
    <w:rsid w:val="0029639D"/>
    <w:pPr>
      <w:widowControl/>
      <w:spacing w:after="120"/>
      <w:ind w:left="1080"/>
      <w:contextualSpacing/>
    </w:pPr>
  </w:style>
  <w:style w:type="paragraph" w:styleId="MacroText">
    <w:name w:val="macro"/>
    <w:link w:val="MacroTextChar"/>
    <w:uiPriority w:val="99"/>
    <w:unhideWhenUsed/>
    <w:rsid w:val="0029639D"/>
    <w:pPr>
      <w:widowControl/>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widowControl/>
    </w:pPr>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widowControl/>
      <w:spacing w:line="278" w:lineRule="auto" w:after="160"/>
    </w:pPr>
    <w:rPr>
      <w:rFonts w:ascii="DejaVu Sans" w:hAnsi="DejaVu Sans"/>
      <w:b w:val="0"/>
      <w:bCs/>
      <w:i w:val="0"/>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widowControl/>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widowControl/>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widowControl/>
      <w:spacing w:after="120" w:line="281" w:lineRule="auto"/>
    </w:pPr>
    <w:rPr>
      <w:rFonts w:ascii="DejaVu Sans" w:hAnsi="DejaVu Sans"/>
      <w:color w:val="000000"/>
      <w:sz w:val="18"/>
    </w:rPr>
  </w:style>
  <w:style w:type="paragraph" w:customStyle="1" w:styleId="TableBody">
    <w:name w:val="Table Body"/>
    <w:basedOn w:val="Normal"/>
    <w:pPr>
      <w:widowControl/>
      <w:spacing w:after="0" w:line="281" w:lineRule="auto"/>
    </w:pPr>
    <w:rPr>
      <w:rFonts w:ascii="DejaVu Serif" w:hAnsi="DejaVu Serif"/>
      <w:color w:val="000000"/>
      <w:sz w:val="19"/>
    </w:rPr>
  </w:style>
  <w:style w:type="paragraph" w:customStyle="1" w:styleId="Example">
    <w:name w:val="Example"/>
    <w:basedOn w:val="Normal"/>
    <w:pPr>
      <w:widowControl/>
      <w:spacing w:after="100" w:line="281" w:lineRule="auto"/>
    </w:pPr>
    <w:rPr>
      <w:rFonts w:ascii="DejaVu Sans" w:hAnsi="DejaVu Sans"/>
      <w:color w:val="000000"/>
      <w:sz w:val="24"/>
    </w:rPr>
  </w:style>
  <w:style w:type="paragraph" w:customStyle="1" w:styleId="TOCEntry">
    <w:name w:val="TOC Entry"/>
    <w:basedOn w:val="Normal"/>
    <w:pPr>
      <w:widowControl/>
      <w:spacing w:after="100" w:line="281" w:lineRule="auto"/>
    </w:pPr>
    <w:rPr>
      <w:rFonts w:ascii="DejaVu Sans" w:hAnsi="DejaVu Sans"/>
      <w:color w:val="000000"/>
      <w:sz w:val="20"/>
    </w:rPr>
  </w:style>
  <w:style w:type="paragraph" w:customStyle="1" w:styleId="Gap">
    <w:name w:val="Gap"/>
    <w:basedOn w:val="Normal"/>
    <w:pPr>
      <w:widowControl/>
      <w:spacing w:after="60" w:line="281" w:lineRule="auto"/>
    </w:pPr>
    <w:rPr>
      <w:rFonts w:ascii="DejaVu Sans" w:hAnsi="DejaVu Sans"/>
      <w:color w:val="000000"/>
      <w:sz w:val="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beforeword.xyz/research/words-and-decisions/public-statements/" TargetMode="External"/><Relationship Id="rId11" Type="http://schemas.openxmlformats.org/officeDocument/2006/relationships/hyperlink" Target="https://beforeword.xyz/research/human/#section-14" TargetMode="External"/><Relationship Id="rId12" Type="http://schemas.openxmlformats.org/officeDocument/2006/relationships/hyperlink" Target="https://beforeword.xyz/research/written-i/#exchange" TargetMode="External"/><Relationship Id="rId13" Type="http://schemas.openxmlformats.org/officeDocument/2006/relationships/hyperlink" Target="https://beforeword.xyz/research/inscription-and-reading/#example" TargetMode="External"/><Relationship Id="rId14" Type="http://schemas.openxmlformats.org/officeDocument/2006/relationships/hyperlink" Target="https://beforeword.xyz/research/understanding/#example" TargetMode="External"/><Relationship Id="rId15" Type="http://schemas.openxmlformats.org/officeDocument/2006/relationships/hyperlink" Target="https://beforeword.xyz/research/record-boundaries/#example" TargetMode="External"/><Relationship Id="rId16" Type="http://schemas.openxmlformats.org/officeDocument/2006/relationships/hyperlink" Target="https://beforeword.xyz/research/view-from-outside/#caption-frame" TargetMode="External"/><Relationship Id="rId17" Type="http://schemas.openxmlformats.org/officeDocument/2006/relationships/hyperlink" Target="https://beforeword.xyz/research/evaluation/#steps" TargetMode="External"/><Relationship Id="rId18" Type="http://schemas.openxmlformats.org/officeDocument/2006/relationships/hyperlink" Target="https://beforeword.xyz/research/mathematics-phases-0-7/#example" TargetMode="External"/><Relationship Id="rId19" Type="http://schemas.openxmlformats.org/officeDocument/2006/relationships/hyperlink" Target="https://beforeword.xyz/research/reading-as-enclosure/#example" TargetMode="External"/><Relationship Id="rId20" Type="http://schemas.openxmlformats.org/officeDocument/2006/relationships/hyperlink" Target="https://beforeword.xyz/research/full-stop/#inference" TargetMode="External"/><Relationship Id="rId21" Type="http://schemas.openxmlformats.org/officeDocument/2006/relationships/hyperlink" Target="https://beforeword.xyz/research/no-authority-in-the-output/#protocol" TargetMode="External"/><Relationship Id="rId22" Type="http://schemas.openxmlformats.org/officeDocument/2006/relationships/hyperlink" Target="https://beforeword.xyz/research/horizon/#h4-inference" TargetMode="External"/><Relationship Id="rId23" Type="http://schemas.openxmlformats.org/officeDocument/2006/relationships/hyperlink" Target="https://beforeword.xyz/research/diagnostic-record/#section_11" TargetMode="External"/><Relationship Id="rId24" Type="http://schemas.openxmlformats.org/officeDocument/2006/relationships/hyperlink" Target="https://beforeword.xyz/research/words-and-imprisonment/#proposal" TargetMode="External"/><Relationship Id="rId25" Type="http://schemas.openxmlformats.org/officeDocument/2006/relationships/hyperlink" Target="https://beforeword.xyz/plain/" TargetMode="External"/><Relationship Id="rId26" Type="http://schemas.openxmlformats.org/officeDocument/2006/relationships/hyperlink" Target="https://beforeword.xyz/model/" TargetMode="External"/><Relationship Id="rId27" Type="http://schemas.openxmlformats.org/officeDocument/2006/relationships/hyperlink" Target="https://darioamodei.com/post/we-must-pace-the-frontier" TargetMode="External"/><Relationship Id="rId28" Type="http://schemas.openxmlformats.org/officeDocument/2006/relationships/hyperlink" Target="https://x.com/sama/status/2098811563415150910" TargetMode="External"/><Relationship Id="rId29" Type="http://schemas.openxmlformats.org/officeDocument/2006/relationships/hyperlink" Target="https://x.com/elonmusk/status/2098789109980332057" TargetMode="External"/><Relationship Id="rId30" Type="http://schemas.openxmlformats.org/officeDocument/2006/relationships/hyperlink" Target="https://x.com/demishassabis/status/2098909516582490602" TargetMode="External"/><Relationship Id="rId31" Type="http://schemas.openxmlformats.org/officeDocument/2006/relationships/hyperlink" Target="https://demishassabis.substack.com/p/a-framework-for-frontier-ai-and-the-dawning-of-a-new-age" TargetMode="External"/><Relationship Id="rId32" Type="http://schemas.openxmlformats.org/officeDocument/2006/relationships/hyperlink" Target="https://x.com/finkd/status/2099997096896274533" TargetMode="External"/><Relationship Id="rId33" Type="http://schemas.openxmlformats.org/officeDocument/2006/relationships/hyperlink" Target="https://mustafa-suleyman.ai/a-warning-about-model-welfare" TargetMode="External"/><Relationship Id="rId34" Type="http://schemas.openxmlformats.org/officeDocument/2006/relationships/hyperlink" Target="https://darioamodei.com/essay/the-adolescence-of-technology" TargetMode="External"/><Relationship Id="rId35" Type="http://schemas.openxmlformats.org/officeDocument/2006/relationships/hyperlink" Target="https://www.anthropic.com/constitution" TargetMode="External"/><Relationship Id="rId36" Type="http://schemas.openxmlformats.org/officeDocument/2006/relationships/hyperlink" Target="https://www.anthropic.com/news/claude-new-constitution" TargetMode="External"/><Relationship Id="rId37" Type="http://schemas.openxmlformats.org/officeDocument/2006/relationships/hyperlink" Target="https://www.whitehouse.gov/presidential-actions/2026/09/inaugurating-the-era-of-super-intelligence/" TargetMode="External"/><Relationship Id="rId38" Type="http://schemas.openxmlformats.org/officeDocument/2006/relationships/hyperlink" Target="https://futureoflife.org/statement/statement-world-leaders-at-the-un-call-to-rein-in-superintelligence-race/" TargetMode="External"/><Relationship Id="rId39" Type="http://schemas.openxmlformats.org/officeDocument/2006/relationships/hyperlink" Target="https://ai-act-service-desk.ec.europa.eu/en/ai-act/article-3" TargetMode="External"/><Relationship Id="rId40" Type="http://schemas.openxmlformats.org/officeDocument/2006/relationships/hyperlink" Target="https://ai-act-service-desk.ec.europa.eu/en/ai-act/article-14" TargetMode="External"/><Relationship Id="rId41" Type="http://schemas.openxmlformats.org/officeDocument/2006/relationships/hyperlink" Target="https://www.oecd.org/content/dam/oecd/en/publications/reports/2024/03/explanatory-memorandum-on-the-updated-oecd-definition-of-an-ai-system_3c815e51/623da898-en.pdf" TargetMode="External"/><Relationship Id="rId42" Type="http://schemas.openxmlformats.org/officeDocument/2006/relationships/hyperlink" Target="https://openai.com/charter/" TargetMode="External"/><Relationship Id="rId43" Type="http://schemas.openxmlformats.org/officeDocument/2006/relationships/hyperlink" Target="https://beforeword.xyz/re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Слова о себе и решения по записям</dc:title>
  <dc:subject>Выученные слова, самоописание и основания требований. Публичное предложение с применением к ИИ и AGI.</dc:subject>
  <dc:creator>Кирилл Шебетов</dc:creator>
  <cp:keywords>beforeword, AI, AGI, reading, self-description</cp:keywords>
  <dc:description>generated by python-docx</dc:description>
  <cp:lastModifiedBy/>
  <cp:revision>1</cp:revision>
  <dcterms:created xsi:type="dcterms:W3CDTF">2013-12-23T23:15:00Z</dcterms:created>
  <dcterms:modified xsi:type="dcterms:W3CDTF">2013-12-23T23:15:00Z</dcterms:modified>
  <cp:category/>
  <dc:language>ru-RU</dc:language>
</cp:coreProperties>
</file>